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15938" w14:textId="2A85851D" w:rsidR="005F72D6" w:rsidRPr="00CF7CDC" w:rsidRDefault="00CF7CDC" w:rsidP="00CF7CDC">
      <w:pPr>
        <w:jc w:val="center"/>
        <w:rPr>
          <w:sz w:val="40"/>
          <w:szCs w:val="40"/>
        </w:rPr>
      </w:pPr>
      <w:r w:rsidRPr="00CF7CDC">
        <w:rPr>
          <w:sz w:val="40"/>
          <w:szCs w:val="40"/>
        </w:rPr>
        <w:t>p1</w:t>
      </w:r>
      <w:r w:rsidR="001B5E45">
        <w:rPr>
          <w:sz w:val="40"/>
          <w:szCs w:val="40"/>
        </w:rPr>
        <w:t>5</w:t>
      </w:r>
      <w:r w:rsidRPr="00CF7CDC">
        <w:rPr>
          <w:sz w:val="40"/>
          <w:szCs w:val="40"/>
        </w:rPr>
        <w:t xml:space="preserve"> Platon, ep.VII, 325c -</w:t>
      </w:r>
      <w:r w:rsidR="002C1150">
        <w:rPr>
          <w:sz w:val="40"/>
          <w:szCs w:val="40"/>
        </w:rPr>
        <w:t xml:space="preserve"> 327e</w:t>
      </w:r>
    </w:p>
    <w:p w14:paraId="25AE8D8F" w14:textId="34DA23A5" w:rsidR="00CF7CDC" w:rsidRPr="00CF7CDC" w:rsidRDefault="00CF7CDC" w:rsidP="00CF7CDC">
      <w:pPr>
        <w:rPr>
          <w:sz w:val="16"/>
          <w:szCs w:val="16"/>
        </w:rPr>
      </w:pPr>
      <w:r w:rsidRPr="00CF7CDC">
        <w:rPr>
          <w:sz w:val="16"/>
          <w:szCs w:val="16"/>
        </w:rPr>
        <w:t>http</w:t>
      </w:r>
      <w:r w:rsidR="0013140B">
        <w:rPr>
          <w:sz w:val="16"/>
          <w:szCs w:val="16"/>
        </w:rPr>
        <w:t>:</w:t>
      </w:r>
      <w:r w:rsidRPr="00CF7CDC">
        <w:rPr>
          <w:sz w:val="16"/>
          <w:szCs w:val="16"/>
        </w:rPr>
        <w:t>//www.perseus.tufts.edu/hopper/text?doc=Perseus%3Atext%3A1999.01.0163%3Aletter%3D7%3Asection%3D325c</w:t>
      </w:r>
    </w:p>
    <w:p w14:paraId="4C3624CB" w14:textId="77777777" w:rsidR="007C5787" w:rsidRDefault="00CF7CDC" w:rsidP="00CF7CDC">
      <w:r w:rsidRPr="00B11C25">
        <w:t>σκοποῦντι δή μοι ταῦτά τε καὶ τοὺς ἀνθρώπους τοὺς πράττοντας τὰ πολιτικά, καὶ τοὺς νόμους γε καὶ ἔθη, ὅσῳ μᾶλλον διεσκόπουν ἡλικίας τε εἰς τὸ πρόσθε προύβαινον, τοσούτῳ χαλεπώτερον ἐφαίνετο ὀρθῶς εἶναί μοι τὰ πολιτικὰ</w:t>
      </w:r>
      <w:r>
        <w:t xml:space="preserve"> </w:t>
      </w:r>
      <w:r w:rsidRPr="00B11C25">
        <w:t>[325δ] διοικεῖν</w:t>
      </w:r>
      <w:r w:rsidR="0013140B">
        <w:t>·</w:t>
      </w:r>
      <w:r w:rsidRPr="00B11C25">
        <w:t xml:space="preserve"> οὔτε γὰρ ἄνευ φίλων ἀνδρῶν καὶ ἑταίρων πιστῶν οἷόν τ᾽ εἶναι πράττειν—οὓς οὔθ᾽ ὑπάρχοντας ἦν εὑρεῖν εὐπετές, οὐ γὰρ ἔτι ἐν τοῖς τῶν πατέρων ἤθεσιν καὶ ἐπιτηδεύμασιν ἡ πόλις ἡμῶν διῳκεῖτο, καινούς τε ἄλλους ἀδύνατον ἦν κτᾶσθαι μετά τινος ῥᾳστώνης—τά τε τῶν νόμων γράμματα καὶ ἔθη διεφθείρετο καὶ ἐπεδίδου θαυμαστὸν ὅσον, ὥστε με,</w:t>
      </w:r>
      <w:r>
        <w:t xml:space="preserve"> </w:t>
      </w:r>
      <w:r w:rsidRPr="00B11C25">
        <w:t>[325ε] τὸ πρῶτον πολλῆς μεστὸν ὄντα ὁρμῆς ἐπὶ τὸ πράττειν τὰ κοινά, βλέποντα εἰς ταῦτα καὶ φερόμενα ὁρῶντα πάντῃ πάντως, τελευτῶντα ἰλιγγιᾶν, καὶ τοῦ μὲν σκοπεῖν μὴ ἀποστῆναι μή ποτε ἄμεινον ἂν γίγνοιτο περί τε αὐτὰ ταῦτα καὶ</w:t>
      </w:r>
      <w:r>
        <w:t xml:space="preserve"> </w:t>
      </w:r>
      <w:r w:rsidR="008368BE" w:rsidRPr="008368BE">
        <w:t>[326α] δὴ καὶ περὶ τὴν πᾶσαν πολιτείαν, τοῦ δὲ πράττειν αὖ περιμένειν ἀεὶ καιρούς, τελευτῶντα δὲ νοῆσαι περὶ πασῶν τῶν νῦν πόλεων ὅτι κακῶς σύμπασαι πολιτεύονται—τὰ γὰρ τῶν νόμων αὐταῖς σχεδὸν ἀνιάτως ἔχοντά ἐστιν ἄνευ παρασκευῆς θαυμαστῆς τινος μετὰ τύχης—λέγειν τε ἠναγκάσθην, ἐπαινῶν τὴν ὀρθὴν φιλοσοφίαν, ὡς ἐκ ταύτης ἔστιν τά τε πολιτικὰ δίκαια καὶ τὰ τῶν ἰδιωτῶν πάντα κατιδεῖν</w:t>
      </w:r>
      <w:r w:rsidR="0013140B">
        <w:t>·</w:t>
      </w:r>
      <w:r w:rsidR="008368BE" w:rsidRPr="008368BE">
        <w:t xml:space="preserve"> κακῶν οὖν οὐ </w:t>
      </w:r>
      <w:r w:rsidRPr="00B11C25">
        <w:t>[326β] λήξειν τὰ ἀνθρώπινα γένη, πρὶν ἂν ἢ τὸ τῶν φιλοσοφούντων ὀρθῶς γε καὶ ἀληθῶς γένος εἰς ἀρχὰς ἔλθῃ τὰς πολιτικὰς ἢ τὸ τῶν δυναστευόντων ἐν ταῖς πόλεσιν ἔκ τινος μοίρας θείας ὄντως φιλοσοφήσῃ.</w:t>
      </w:r>
      <w:r w:rsidR="008368BE">
        <w:t xml:space="preserve"> </w:t>
      </w:r>
    </w:p>
    <w:p w14:paraId="564168F5" w14:textId="13C76B39" w:rsidR="00473574" w:rsidRPr="001E33A1" w:rsidRDefault="00CE3059" w:rsidP="00CF7CDC">
      <w:r w:rsidRPr="001E33A1">
        <w:t>ταύτην δὴ τὴν διάνοιαν ἔχων εἰς Ἰταλίαν τε καὶ Σικελίαν ἦλθον, ὅτε πρῶτον ἀφικόμην. ἐλθόντα δέ με ὁ ταύτῃ λεγόμενος αὖ βίος εὐδαίμων, Ἰταλιωτικῶν τε καὶ Συρακουσίων τραπεζῶν πλήρης, οὐδαμῇ οὐδαμῶς ἤρεσεν</w:t>
      </w:r>
      <w:r w:rsidR="00EF27F0">
        <w:rPr>
          <w:rStyle w:val="Funotenzeichen"/>
        </w:rPr>
        <w:footnoteReference w:id="1"/>
      </w:r>
      <w:r w:rsidR="00467B8C" w:rsidRPr="001E33A1">
        <w:t>,</w:t>
      </w:r>
      <w:r w:rsidRPr="001E33A1">
        <w:t xml:space="preserve"> δίς τε τῆς ἡμέρας ἐμπιμπλάμενον</w:t>
      </w:r>
      <w:r w:rsidR="00EF27F0">
        <w:rPr>
          <w:rStyle w:val="Funotenzeichen"/>
        </w:rPr>
        <w:footnoteReference w:id="2"/>
      </w:r>
      <w:r w:rsidRPr="001E33A1">
        <w:t xml:space="preserve"> ζῆν καὶ μηδέποτε κοιμώμενον μόνον νύκτωρ, </w:t>
      </w:r>
      <w:r w:rsidR="008368BE" w:rsidRPr="001E33A1">
        <w:t>[326ξ] καὶ ὅσα τούτῳ ἐπιτηδεύματα συνέπεται τῷ βίῳ</w:t>
      </w:r>
      <w:r w:rsidR="0013140B" w:rsidRPr="001E33A1">
        <w:t>·</w:t>
      </w:r>
      <w:r w:rsidR="008368BE" w:rsidRPr="001E33A1">
        <w:t xml:space="preserve"> ἐκ γὰρ τούτων τῶν ἐθῶν οὔτ᾽ ἂν φρόνιμος οὐδείς ποτε γενέσθαι τῶν ὑπὸ τὸν οὐρανὸν ἀνθρώπων ἐκ νέου ἐπιτηδεύων δύναιτο</w:t>
      </w:r>
      <w:r w:rsidR="00EF27F0">
        <w:t xml:space="preserve"> </w:t>
      </w:r>
      <w:r w:rsidR="008368BE" w:rsidRPr="001E33A1">
        <w:t>—</w:t>
      </w:r>
      <w:r w:rsidR="00EF27F0">
        <w:t xml:space="preserve"> </w:t>
      </w:r>
      <w:r w:rsidR="008368BE" w:rsidRPr="001E33A1">
        <w:t>οὐχ οὕτως θαυμαστῇ φύσει κραθήσεται</w:t>
      </w:r>
      <w:r w:rsidR="00EF27F0">
        <w:t xml:space="preserve"> </w:t>
      </w:r>
      <w:r w:rsidR="008368BE" w:rsidRPr="001E33A1">
        <w:t>—</w:t>
      </w:r>
      <w:r w:rsidR="00EF27F0">
        <w:t xml:space="preserve"> </w:t>
      </w:r>
      <w:r w:rsidR="008368BE" w:rsidRPr="001E33A1">
        <w:t>σώφρων δὲ οὐδ᾽ ἂν μελλήσαι ποτὲ γενέσθαι, καὶ δὴ καὶ περὶ τῆς ἄλλης ἀρετῆς ὁ αὐτὸς λόγος ἂν εἴη, πόλις τε οὐδεμία ἂν ἠρεμήσαι</w:t>
      </w:r>
      <w:r w:rsidR="00DC1935">
        <w:rPr>
          <w:rStyle w:val="Funotenzeichen"/>
        </w:rPr>
        <w:footnoteReference w:id="3"/>
      </w:r>
      <w:r w:rsidR="008368BE" w:rsidRPr="001E33A1">
        <w:t xml:space="preserve"> κατὰ νόμους οὐδ᾽ οὑστινασοῦν</w:t>
      </w:r>
      <w:r w:rsidR="00D56934">
        <w:rPr>
          <w:rStyle w:val="Funotenzeichen"/>
        </w:rPr>
        <w:footnoteReference w:id="4"/>
      </w:r>
      <w:r w:rsidR="008368BE" w:rsidRPr="001E33A1">
        <w:t xml:space="preserve"> ἀνδρῶν οἰομένων ἀναλίσκειν μὲν δεῖν [326δ] πάντα εἰς ὑπερβολάς, ἀργῶν</w:t>
      </w:r>
      <w:r w:rsidR="00237B75">
        <w:rPr>
          <w:rStyle w:val="Funotenzeichen"/>
        </w:rPr>
        <w:footnoteReference w:id="5"/>
      </w:r>
      <w:r w:rsidR="008368BE" w:rsidRPr="001E33A1">
        <w:t xml:space="preserve"> δὲ εἰς ἅπαντα ἡγουμένων αὖ δεῖν γίγνεσθαι πλὴν ἐς εὐωχίας καὶ πότους καὶ ἀφροδισίων σπουδὰς διαπονουμένας</w:t>
      </w:r>
      <w:r w:rsidR="0013140B" w:rsidRPr="001E33A1">
        <w:t>·</w:t>
      </w:r>
      <w:r w:rsidR="008368BE" w:rsidRPr="001E33A1">
        <w:t xml:space="preserve"> ἀναγκαῖον δὲ εἶναι ταύτας τὰς πόλεις τυραννίδας τε καὶ ὀλιγαρχίας καὶ δημοκρατίας μεταβαλλούσας μηδέποτε λήγειν, δικαίου</w:t>
      </w:r>
      <w:r w:rsidR="00237B75">
        <w:rPr>
          <w:rStyle w:val="Funotenzeichen"/>
        </w:rPr>
        <w:footnoteReference w:id="6"/>
      </w:r>
      <w:r w:rsidR="008368BE" w:rsidRPr="001E33A1">
        <w:t xml:space="preserve"> δὲ καὶ ἰσονόμου πολιτείας τοὺς ἐν αὐταῖς δυναστεύοντας μηδ᾽ ὄνομα ἀκούοντας ἀνέχεσθαι. </w:t>
      </w:r>
    </w:p>
    <w:p w14:paraId="2FB4D9BC" w14:textId="230E13CF" w:rsidR="00CF7CDC" w:rsidRDefault="008368BE">
      <w:r w:rsidRPr="001E33A1">
        <w:t>ταῦτα δὴ πρὸς τοῖς πρόσθε διανοούμενος, εἰς Συρακούσας [326ε] διεπορεύθην, ἴσως μὲν κατὰ τύχην, ἔοικεν μὴν τότε μηχανωμένῳ τινὶ</w:t>
      </w:r>
      <w:r w:rsidR="00237B75">
        <w:rPr>
          <w:rStyle w:val="Funotenzeichen"/>
        </w:rPr>
        <w:footnoteReference w:id="7"/>
      </w:r>
      <w:r w:rsidRPr="001E33A1">
        <w:t xml:space="preserve"> τῶν κρειττόνων</w:t>
      </w:r>
      <w:r w:rsidR="00237B75">
        <w:rPr>
          <w:rStyle w:val="Funotenzeichen"/>
        </w:rPr>
        <w:footnoteReference w:id="8"/>
      </w:r>
      <w:r w:rsidRPr="001E33A1">
        <w:t xml:space="preserve"> ἀρχὴν</w:t>
      </w:r>
      <w:r w:rsidR="00DC3D9B">
        <w:rPr>
          <w:rStyle w:val="Funotenzeichen"/>
        </w:rPr>
        <w:footnoteReference w:id="9"/>
      </w:r>
      <w:r w:rsidRPr="001E33A1">
        <w:t xml:space="preserve"> βαλέσθαι τῶν νῦν γεγονότων πραγμάτων περὶ Δίωνα καὶ τῶν περὶ Συρακούσας</w:t>
      </w:r>
      <w:r w:rsidR="0013140B" w:rsidRPr="001E33A1">
        <w:t>·</w:t>
      </w:r>
      <w:r w:rsidRPr="001E33A1">
        <w:t xml:space="preserve"> δέος δὲ μὴ καὶ πλειόνων ἔτι, ἐὰν μὴ νῦν ὑμεῖς ἐμοὶ πείθησθε τὸ δεύτερον συμβουλεύοντι. πῶς οὖν δὴ λέγω πάντων [327α] ἀρχὴν γεγονέναι τὴν τότε εἰς Σικελίαν ἐμὴν ἄφιξιν; ἐγὼ συγγενόμενος Δίωνι τότε νέῳ κινδυνεύω, τὰ δοκοῦντα ἐμοὶ βέλτιστα ἀνθρώποις εἶναι μηνύων διὰ λόγων καὶ πράττειν αὐτὰ συμβουλεύων, ἀγνοεῖν ὅτι τυραννίδος τινὰ τρόπον κατάλυσιν ἐσομένην μηχανώμενος ἐλάνθανον ἐμαυτόν. </w:t>
      </w:r>
      <w:r w:rsidR="002621AF" w:rsidRPr="001E33A1">
        <w:rPr>
          <w:lang w:val="el-GR"/>
        </w:rPr>
        <w:t>Δ</w:t>
      </w:r>
      <w:r w:rsidRPr="001E33A1">
        <w:t>ίων μὲν γὰρ δή, μάλ᾽ εὐμαθὴς ὢν πρός τε τἆλλα καὶ πρὸς τοὺς τότε ὑπ᾽ ἐμοῦ λόγους γενομένους, οὕτως ὀξέως ὑπήκουσεν [327β] καὶ σφόδρα, ὡς οὐδεὶς πώποτε ὧν ἐγὼ προσέτυχον νέων, καὶ τὸν ἐπίλοιπον βίον ζῆν ἠθέλησεν διαφερόντως τῶν πολλῶν Ἰταλιωτῶν τε καὶ Σικελιωτῶν, ἀρετὴν περὶ πλείονος ἡδονῆς τῆς τε ἄλλης τρυφῆς ἠγαπηκώς</w:t>
      </w:r>
      <w:r w:rsidR="0013140B" w:rsidRPr="001E33A1">
        <w:t>·</w:t>
      </w:r>
      <w:r w:rsidRPr="001E33A1">
        <w:t xml:space="preserve"> ὅθεν ἐπαχθέστερον τοῖς περὶ τὰ</w:t>
      </w:r>
      <w:r w:rsidRPr="008368BE">
        <w:t xml:space="preserve"> τυραννικὰ νόμιμα ζῶσιν ἐβίω μέχρι τοῦ θανάτου τοῦ περὶ Διονύσιον γενομένου. μετὰ δὲ τοῦτο διενοήθη μὴ μόνον ἐν αὑτῷ ποτ᾽ ἂν γενέσθαι ταύτην τὴν διάνοιαν, ἣν</w:t>
      </w:r>
      <w:r>
        <w:t xml:space="preserve"> </w:t>
      </w:r>
      <w:r w:rsidRPr="008368BE">
        <w:t xml:space="preserve">[327ξ] αὐτὸς ὑπὸ τῶν ὀρθῶν λόγων ἔσχεν, ἐγγιγνομένην δὲ αὐτὴν καὶ ἐν ἄλλοις ὁρῶν κατενόει, πολλοῖς μὲν οὔ, γιγνομένην δ᾽ οὖν ἔν τισιν, ὧν καὶ Διονύσιον ἡγήσατο ἕνα γενέσθαι τάχ᾽ ἂν συλλαμβανόντων θεῶν, γενομένου δ᾽ αὖ τοῦ τοιούτου τόν τε αὐτοῦ βίον καὶ τὸν τῶν ἄλλων Συρακουσίων ἀμήχανον ἂν μακαριότητι συμβῆναι </w:t>
      </w:r>
      <w:r w:rsidRPr="008368BE">
        <w:lastRenderedPageBreak/>
        <w:t>γενόμενον. πρὸς δὴ τούτοις ᾠήθη δεῖν ἐκ παντὸς τρόπου εἰς Συρακούσας ὅτι τάχιστα ἐλθεῖν ἐμὲ</w:t>
      </w:r>
      <w:r>
        <w:t xml:space="preserve"> </w:t>
      </w:r>
      <w:r w:rsidRPr="008368BE">
        <w:t>[327δ] κοινωνὸν τούτων, μεμνημένος τήν τε αὑτοῦ καὶ ἐμὴν συνουσίαν ὡς εὐπετῶς ἐξηργάσατο εἰς ἐπιθυμίαν ἐλθεῖν αὐτὸν τοῦ καλλίστου τε καὶ ἀρίστου βίου</w:t>
      </w:r>
      <w:r w:rsidR="0013140B">
        <w:t>·</w:t>
      </w:r>
      <w:r w:rsidRPr="008368BE">
        <w:t xml:space="preserve"> ὃ</w:t>
      </w:r>
      <w:r w:rsidR="00931375">
        <w:rPr>
          <w:rStyle w:val="Funotenzeichen"/>
        </w:rPr>
        <w:footnoteReference w:id="10"/>
      </w:r>
      <w:r w:rsidRPr="008368BE">
        <w:t xml:space="preserve"> δὴ καὶ νῦν εἰ διαπράξαιτο ἐν Διονυσίῳ ὡς ἐπεχείρησε, μεγάλας ἐλπίδας εἶχεν ἄνευ σφαγῶν καὶ θανάτων καὶ τῶν νῦν γεγονότων κακῶν βίον ἂν εὐδαίμονα καὶ ἀληθινὸν ἐν πάσῃ τῇ χώρᾳ κατασκευάσαι. ταῦτα </w:t>
      </w:r>
      <w:r w:rsidR="00831AFE">
        <w:rPr>
          <w:lang w:val="el-GR"/>
        </w:rPr>
        <w:t>Δ</w:t>
      </w:r>
      <w:r w:rsidRPr="008368BE">
        <w:t>ίων ὀρθῶς διανοηθεὶς ἔπεισε μεταπέμπεσθαι Διονύσιον ἐμέ, καὶ αὐτὸς ἐδεῖτο πέμπων ἥκειν ὅτι τάχιστα ἐκ</w:t>
      </w:r>
      <w:r>
        <w:t xml:space="preserve"> </w:t>
      </w:r>
      <w:r w:rsidRPr="008368BE">
        <w:t xml:space="preserve">[327ε] παντὸς τρόπου, πρίν τινας ἄλλους ἐντυχόντας Διονυσίῳ ἐπ᾽ ἄλλον βίον αὐτὸν τοῦ βελτίστου παρατρέψαι. </w:t>
      </w:r>
    </w:p>
    <w:sectPr w:rsidR="00CF7CDC" w:rsidSect="00EC2F5E">
      <w:pgSz w:w="11906" w:h="16838"/>
      <w:pgMar w:top="426" w:right="991" w:bottom="28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EC71E" w14:textId="77777777" w:rsidR="002F2E5A" w:rsidRDefault="002F2E5A" w:rsidP="0088567E">
      <w:pPr>
        <w:spacing w:after="0" w:line="240" w:lineRule="auto"/>
      </w:pPr>
      <w:r>
        <w:separator/>
      </w:r>
    </w:p>
  </w:endnote>
  <w:endnote w:type="continuationSeparator" w:id="0">
    <w:p w14:paraId="0E0C6065" w14:textId="77777777" w:rsidR="002F2E5A" w:rsidRDefault="002F2E5A" w:rsidP="00885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49295" w14:textId="77777777" w:rsidR="002F2E5A" w:rsidRDefault="002F2E5A" w:rsidP="0088567E">
      <w:pPr>
        <w:spacing w:after="0" w:line="240" w:lineRule="auto"/>
      </w:pPr>
      <w:r>
        <w:separator/>
      </w:r>
    </w:p>
  </w:footnote>
  <w:footnote w:type="continuationSeparator" w:id="0">
    <w:p w14:paraId="57204142" w14:textId="77777777" w:rsidR="002F2E5A" w:rsidRDefault="002F2E5A" w:rsidP="0088567E">
      <w:pPr>
        <w:spacing w:after="0" w:line="240" w:lineRule="auto"/>
      </w:pPr>
      <w:r>
        <w:continuationSeparator/>
      </w:r>
    </w:p>
  </w:footnote>
  <w:footnote w:id="1">
    <w:p w14:paraId="5E6E3E6A" w14:textId="6B5F37EC" w:rsidR="00EF27F0" w:rsidRDefault="00EF27F0">
      <w:pPr>
        <w:pStyle w:val="Funotentext"/>
      </w:pPr>
      <w:r>
        <w:rPr>
          <w:rStyle w:val="Funotenzeichen"/>
        </w:rPr>
        <w:footnoteRef/>
      </w:r>
      <w:r>
        <w:t xml:space="preserve"> von </w:t>
      </w:r>
      <w:r>
        <w:rPr>
          <w:lang w:val="el-GR"/>
        </w:rPr>
        <w:t xml:space="preserve">ἤρεσεν </w:t>
      </w:r>
      <w:r>
        <w:t>ist um den folgenden Inf. ergänzt - Vorschlag: mit "nämlich" anhängen</w:t>
      </w:r>
    </w:p>
  </w:footnote>
  <w:footnote w:id="2">
    <w:p w14:paraId="11E54360" w14:textId="3B37EBD6" w:rsidR="00EF27F0" w:rsidRPr="00EF27F0" w:rsidRDefault="00EF27F0">
      <w:pPr>
        <w:pStyle w:val="Funotentext"/>
      </w:pPr>
      <w:r>
        <w:rPr>
          <w:rStyle w:val="Funotenzeichen"/>
        </w:rPr>
        <w:footnoteRef/>
      </w:r>
      <w:r>
        <w:t xml:space="preserve"> Hier wird die Nähe des Inf. zum AcI deutlich: das Prädikativum zu </w:t>
      </w:r>
      <w:r>
        <w:rPr>
          <w:lang w:val="el-GR"/>
        </w:rPr>
        <w:t xml:space="preserve">ζῆν </w:t>
      </w:r>
      <w:r>
        <w:t xml:space="preserve">steht im Akk., als gäbe es den Subjektsakkusativ eines AcI </w:t>
      </w:r>
    </w:p>
  </w:footnote>
  <w:footnote w:id="3">
    <w:p w14:paraId="7B5F3308" w14:textId="25C19B83" w:rsidR="00DC1935" w:rsidRPr="00AD2AF7" w:rsidRDefault="00DC1935">
      <w:pPr>
        <w:pStyle w:val="Funotentext"/>
      </w:pPr>
      <w:r>
        <w:rPr>
          <w:rStyle w:val="Funotenzeichen"/>
        </w:rPr>
        <w:footnoteRef/>
      </w:r>
      <w:r>
        <w:t xml:space="preserve"> parallel zu </w:t>
      </w:r>
      <w:r w:rsidR="00AD2AF7" w:rsidRPr="001E33A1">
        <w:t>ἂν μελλήσαι</w:t>
      </w:r>
      <w:r w:rsidR="00AD2AF7">
        <w:t xml:space="preserve">, also von </w:t>
      </w:r>
      <w:r w:rsidR="00AD2AF7">
        <w:rPr>
          <w:lang w:val="el-GR"/>
        </w:rPr>
        <w:t xml:space="preserve">δύναιτο </w:t>
      </w:r>
      <w:r w:rsidR="00AD2AF7">
        <w:t>abhängig</w:t>
      </w:r>
    </w:p>
  </w:footnote>
  <w:footnote w:id="4">
    <w:p w14:paraId="460E2C70" w14:textId="518532E0" w:rsidR="00D56934" w:rsidRPr="00D56934" w:rsidRDefault="00D56934">
      <w:pPr>
        <w:pStyle w:val="Funotentext"/>
        <w:rPr>
          <w:lang w:val="el-GR"/>
        </w:rPr>
      </w:pPr>
      <w:r>
        <w:rPr>
          <w:rStyle w:val="Funotenzeichen"/>
        </w:rPr>
        <w:footnoteRef/>
      </w:r>
      <w:r>
        <w:t xml:space="preserve"> Attribut zu </w:t>
      </w:r>
      <w:r>
        <w:rPr>
          <w:lang w:val="el-GR"/>
        </w:rPr>
        <w:t>νόμους</w:t>
      </w:r>
    </w:p>
  </w:footnote>
  <w:footnote w:id="5">
    <w:p w14:paraId="5F445614" w14:textId="3AF0995A" w:rsidR="00237B75" w:rsidRPr="00237B75" w:rsidRDefault="00237B75">
      <w:pPr>
        <w:pStyle w:val="Funotentext"/>
      </w:pPr>
      <w:r>
        <w:rPr>
          <w:rStyle w:val="Funotenzeichen"/>
        </w:rPr>
        <w:footnoteRef/>
      </w:r>
      <w:r>
        <w:t xml:space="preserve"> Prädikatsnomen zu </w:t>
      </w:r>
      <w:r>
        <w:rPr>
          <w:lang w:val="el-GR"/>
        </w:rPr>
        <w:t xml:space="preserve">γίγνεσθαι </w:t>
      </w:r>
      <w:r>
        <w:t xml:space="preserve">und im Kasus von </w:t>
      </w:r>
      <w:r>
        <w:rPr>
          <w:lang w:val="el-GR"/>
        </w:rPr>
        <w:t xml:space="preserve">ἀνδρῶν </w:t>
      </w:r>
      <w:r>
        <w:t>bestimmt</w:t>
      </w:r>
    </w:p>
  </w:footnote>
  <w:footnote w:id="6">
    <w:p w14:paraId="6469305D" w14:textId="71F0B8DB" w:rsidR="00237B75" w:rsidRPr="00237B75" w:rsidRDefault="00237B75">
      <w:pPr>
        <w:pStyle w:val="Funotentext"/>
      </w:pPr>
      <w:r>
        <w:rPr>
          <w:rStyle w:val="Funotenzeichen"/>
        </w:rPr>
        <w:footnoteRef/>
      </w:r>
      <w:r>
        <w:t xml:space="preserve"> eigentlich </w:t>
      </w:r>
      <w:r>
        <w:rPr>
          <w:lang w:val="el-GR"/>
        </w:rPr>
        <w:t xml:space="preserve">δικαίης, </w:t>
      </w:r>
      <w:r>
        <w:t xml:space="preserve">aber an </w:t>
      </w:r>
      <w:r>
        <w:rPr>
          <w:lang w:val="el-GR"/>
        </w:rPr>
        <w:t xml:space="preserve">ἰσονόμου </w:t>
      </w:r>
      <w:r>
        <w:t>angeglichen</w:t>
      </w:r>
    </w:p>
  </w:footnote>
  <w:footnote w:id="7">
    <w:p w14:paraId="49641E29" w14:textId="339CFD43" w:rsidR="00237B75" w:rsidRDefault="00237B75">
      <w:pPr>
        <w:pStyle w:val="Funotentext"/>
      </w:pPr>
      <w:r>
        <w:rPr>
          <w:rStyle w:val="Funotenzeichen"/>
        </w:rPr>
        <w:footnoteRef/>
      </w:r>
      <w:r>
        <w:t xml:space="preserve"> Dativus causae oder auctoris</w:t>
      </w:r>
    </w:p>
  </w:footnote>
  <w:footnote w:id="8">
    <w:p w14:paraId="084DEF21" w14:textId="5EBD2370" w:rsidR="00237B75" w:rsidRDefault="00237B75">
      <w:pPr>
        <w:pStyle w:val="Funotentext"/>
      </w:pPr>
      <w:r>
        <w:rPr>
          <w:rStyle w:val="Funotenzeichen"/>
        </w:rPr>
        <w:footnoteRef/>
      </w:r>
      <w:r>
        <w:t xml:space="preserve"> </w:t>
      </w:r>
      <w:r w:rsidR="00DC3D9B">
        <w:t>gemeint sind die Götter</w:t>
      </w:r>
    </w:p>
  </w:footnote>
  <w:footnote w:id="9">
    <w:p w14:paraId="7E56958E" w14:textId="00FDEE22" w:rsidR="00DC3D9B" w:rsidRDefault="00DC3D9B">
      <w:pPr>
        <w:pStyle w:val="Funotentext"/>
      </w:pPr>
      <w:r>
        <w:rPr>
          <w:rStyle w:val="Funotenzeichen"/>
        </w:rPr>
        <w:footnoteRef/>
      </w:r>
      <w:r>
        <w:t xml:space="preserve"> hier einfach "Anfang"</w:t>
      </w:r>
    </w:p>
  </w:footnote>
  <w:footnote w:id="10">
    <w:p w14:paraId="6E1AA96A" w14:textId="58EC46DA" w:rsidR="00931375" w:rsidRPr="00931375" w:rsidRDefault="00931375">
      <w:pPr>
        <w:pStyle w:val="Funotentext"/>
      </w:pPr>
      <w:r>
        <w:rPr>
          <w:rStyle w:val="Funotenzeichen"/>
        </w:rPr>
        <w:footnoteRef/>
      </w:r>
      <w:r>
        <w:t xml:space="preserve"> übersetze mit Demonstrativum (relativischer Anschluss)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04B"/>
    <w:rsid w:val="00106807"/>
    <w:rsid w:val="0013140B"/>
    <w:rsid w:val="001B5E45"/>
    <w:rsid w:val="001C6B15"/>
    <w:rsid w:val="001E33A1"/>
    <w:rsid w:val="00237B75"/>
    <w:rsid w:val="002621AF"/>
    <w:rsid w:val="002C1150"/>
    <w:rsid w:val="002F2E5A"/>
    <w:rsid w:val="0037204B"/>
    <w:rsid w:val="00467B8C"/>
    <w:rsid w:val="00473574"/>
    <w:rsid w:val="00536E7E"/>
    <w:rsid w:val="0057246E"/>
    <w:rsid w:val="00584628"/>
    <w:rsid w:val="00763112"/>
    <w:rsid w:val="007C5787"/>
    <w:rsid w:val="007F43DD"/>
    <w:rsid w:val="00831AFE"/>
    <w:rsid w:val="008368BE"/>
    <w:rsid w:val="0088567E"/>
    <w:rsid w:val="00931375"/>
    <w:rsid w:val="009A50F0"/>
    <w:rsid w:val="00AD2AF7"/>
    <w:rsid w:val="00B05B31"/>
    <w:rsid w:val="00CB5D1C"/>
    <w:rsid w:val="00CE3059"/>
    <w:rsid w:val="00CE7044"/>
    <w:rsid w:val="00CF7CDC"/>
    <w:rsid w:val="00D56934"/>
    <w:rsid w:val="00DC1935"/>
    <w:rsid w:val="00DC3D9B"/>
    <w:rsid w:val="00EC2F5E"/>
    <w:rsid w:val="00EF27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4DD22"/>
  <w15:chartTrackingRefBased/>
  <w15:docId w15:val="{E6353FB8-F357-4EC5-BE46-BE54D8D5F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F7CD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88567E"/>
    <w:rPr>
      <w:sz w:val="16"/>
      <w:szCs w:val="16"/>
    </w:rPr>
  </w:style>
  <w:style w:type="paragraph" w:styleId="Kommentartext">
    <w:name w:val="annotation text"/>
    <w:basedOn w:val="Standard"/>
    <w:link w:val="KommentartextZchn"/>
    <w:uiPriority w:val="99"/>
    <w:semiHidden/>
    <w:unhideWhenUsed/>
    <w:rsid w:val="0088567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8567E"/>
    <w:rPr>
      <w:sz w:val="20"/>
      <w:szCs w:val="20"/>
    </w:rPr>
  </w:style>
  <w:style w:type="paragraph" w:styleId="Kommentarthema">
    <w:name w:val="annotation subject"/>
    <w:basedOn w:val="Kommentartext"/>
    <w:next w:val="Kommentartext"/>
    <w:link w:val="KommentarthemaZchn"/>
    <w:uiPriority w:val="99"/>
    <w:semiHidden/>
    <w:unhideWhenUsed/>
    <w:rsid w:val="0088567E"/>
    <w:rPr>
      <w:b/>
      <w:bCs/>
    </w:rPr>
  </w:style>
  <w:style w:type="character" w:customStyle="1" w:styleId="KommentarthemaZchn">
    <w:name w:val="Kommentarthema Zchn"/>
    <w:basedOn w:val="KommentartextZchn"/>
    <w:link w:val="Kommentarthema"/>
    <w:uiPriority w:val="99"/>
    <w:semiHidden/>
    <w:rsid w:val="0088567E"/>
    <w:rPr>
      <w:b/>
      <w:bCs/>
      <w:sz w:val="20"/>
      <w:szCs w:val="20"/>
    </w:rPr>
  </w:style>
  <w:style w:type="paragraph" w:styleId="berarbeitung">
    <w:name w:val="Revision"/>
    <w:hidden/>
    <w:uiPriority w:val="99"/>
    <w:semiHidden/>
    <w:rsid w:val="0088567E"/>
    <w:pPr>
      <w:spacing w:after="0" w:line="240" w:lineRule="auto"/>
    </w:pPr>
  </w:style>
  <w:style w:type="paragraph" w:styleId="Funotentext">
    <w:name w:val="footnote text"/>
    <w:basedOn w:val="Standard"/>
    <w:link w:val="FunotentextZchn"/>
    <w:uiPriority w:val="99"/>
    <w:semiHidden/>
    <w:unhideWhenUsed/>
    <w:rsid w:val="0088567E"/>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88567E"/>
    <w:rPr>
      <w:sz w:val="20"/>
      <w:szCs w:val="20"/>
    </w:rPr>
  </w:style>
  <w:style w:type="character" w:styleId="Funotenzeichen">
    <w:name w:val="footnote reference"/>
    <w:basedOn w:val="Absatz-Standardschriftart"/>
    <w:uiPriority w:val="99"/>
    <w:semiHidden/>
    <w:unhideWhenUsed/>
    <w:rsid w:val="0088567E"/>
    <w:rPr>
      <w:vertAlign w:val="superscript"/>
    </w:rPr>
  </w:style>
  <w:style w:type="paragraph" w:styleId="Endnotentext">
    <w:name w:val="endnote text"/>
    <w:basedOn w:val="Standard"/>
    <w:link w:val="EndnotentextZchn"/>
    <w:uiPriority w:val="99"/>
    <w:semiHidden/>
    <w:unhideWhenUsed/>
    <w:rsid w:val="00467B8C"/>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467B8C"/>
    <w:rPr>
      <w:sz w:val="20"/>
      <w:szCs w:val="20"/>
    </w:rPr>
  </w:style>
  <w:style w:type="character" w:styleId="Endnotenzeichen">
    <w:name w:val="endnote reference"/>
    <w:basedOn w:val="Absatz-Standardschriftart"/>
    <w:uiPriority w:val="99"/>
    <w:semiHidden/>
    <w:unhideWhenUsed/>
    <w:rsid w:val="00467B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10FB1B-4AE1-41B4-8620-DB8B0AA14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635</Words>
  <Characters>4007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Friedrich Holtiegel</dc:creator>
  <cp:keywords/>
  <dc:description/>
  <cp:lastModifiedBy>Friedrich Holtiegel</cp:lastModifiedBy>
  <cp:revision>18</cp:revision>
  <dcterms:created xsi:type="dcterms:W3CDTF">2021-07-30T19:14:00Z</dcterms:created>
  <dcterms:modified xsi:type="dcterms:W3CDTF">2021-09-19T22:08:00Z</dcterms:modified>
</cp:coreProperties>
</file>