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0A660" w14:textId="58FB9A27" w:rsidR="00AF314C" w:rsidRPr="00AF314C" w:rsidRDefault="00AF314C" w:rsidP="00776335">
      <w:pPr>
        <w:spacing w:line="240" w:lineRule="auto"/>
        <w:ind w:left="-426" w:right="-142" w:firstLine="0"/>
        <w:jc w:val="center"/>
        <w:rPr>
          <w:rFonts w:ascii="Alkaios" w:hAnsi="Alkaios" w:cs="Arial"/>
          <w:sz w:val="32"/>
          <w:szCs w:val="32"/>
        </w:rPr>
      </w:pPr>
      <w:r w:rsidRPr="00AF314C">
        <w:rPr>
          <w:rFonts w:ascii="Alkaios" w:hAnsi="Alkaios" w:cs="Arial"/>
          <w:sz w:val="44"/>
          <w:szCs w:val="44"/>
        </w:rPr>
        <w:t>T</w:t>
      </w:r>
      <w:r w:rsidR="00776335">
        <w:rPr>
          <w:rFonts w:ascii="Alkaios" w:hAnsi="Alkaios" w:cs="Arial"/>
          <w:sz w:val="44"/>
          <w:szCs w:val="44"/>
        </w:rPr>
        <w:t>10</w:t>
      </w:r>
      <w:r w:rsidRPr="00AF314C">
        <w:rPr>
          <w:rFonts w:ascii="Alkaios" w:hAnsi="Alkaios" w:cs="Arial"/>
          <w:sz w:val="44"/>
          <w:szCs w:val="44"/>
        </w:rPr>
        <w:t xml:space="preserve"> </w:t>
      </w:r>
      <w:r w:rsidRPr="00AF314C">
        <w:rPr>
          <w:rFonts w:ascii="Alkaios" w:hAnsi="Alkaios" w:cs="Arial"/>
          <w:sz w:val="44"/>
          <w:szCs w:val="44"/>
          <w:lang w:val="el-GR"/>
        </w:rPr>
        <w:t>ὑπὲρ</w:t>
      </w:r>
      <w:r w:rsidRPr="00AF314C">
        <w:rPr>
          <w:rFonts w:ascii="Alkaios" w:hAnsi="Alkaios" w:cs="Arial"/>
          <w:sz w:val="44"/>
          <w:szCs w:val="44"/>
        </w:rPr>
        <w:t xml:space="preserve"> </w:t>
      </w:r>
      <w:r w:rsidRPr="00AF314C">
        <w:rPr>
          <w:rFonts w:ascii="Alkaios" w:hAnsi="Alkaios" w:cs="Arial"/>
          <w:sz w:val="44"/>
          <w:szCs w:val="44"/>
          <w:lang w:val="el-GR"/>
        </w:rPr>
        <w:t>τοῦ</w:t>
      </w:r>
      <w:r w:rsidRPr="00AF314C">
        <w:rPr>
          <w:rFonts w:ascii="Alkaios" w:hAnsi="Alkaios" w:cs="Arial"/>
          <w:sz w:val="44"/>
          <w:szCs w:val="44"/>
        </w:rPr>
        <w:t xml:space="preserve"> </w:t>
      </w:r>
      <w:r w:rsidRPr="00AF314C">
        <w:rPr>
          <w:rFonts w:ascii="Alkaios" w:hAnsi="Alkaios" w:cs="Arial"/>
          <w:sz w:val="44"/>
          <w:szCs w:val="44"/>
          <w:lang w:val="el-GR"/>
        </w:rPr>
        <w:t>Ἐρατοσθένους</w:t>
      </w:r>
      <w:r w:rsidRPr="00AF314C">
        <w:rPr>
          <w:rFonts w:ascii="Alkaios" w:hAnsi="Alkaios" w:cs="Arial"/>
          <w:sz w:val="44"/>
          <w:szCs w:val="44"/>
        </w:rPr>
        <w:t xml:space="preserve"> </w:t>
      </w:r>
      <w:r w:rsidRPr="00AF314C">
        <w:rPr>
          <w:rFonts w:ascii="Alkaios" w:hAnsi="Alkaios" w:cs="Arial"/>
          <w:sz w:val="44"/>
          <w:szCs w:val="44"/>
          <w:lang w:val="el-GR"/>
        </w:rPr>
        <w:t>φόνου</w:t>
      </w:r>
      <w:r w:rsidRPr="00AF314C">
        <w:rPr>
          <w:rFonts w:ascii="Alkaios" w:hAnsi="Alkaios" w:cs="Arial"/>
          <w:sz w:val="44"/>
          <w:szCs w:val="44"/>
        </w:rPr>
        <w:t xml:space="preserve"> </w:t>
      </w:r>
      <w:r w:rsidRPr="00AF314C">
        <w:rPr>
          <w:rFonts w:ascii="Alkaios" w:hAnsi="Alkaios" w:cs="Arial"/>
          <w:sz w:val="44"/>
          <w:szCs w:val="44"/>
          <w:lang w:val="el-GR"/>
        </w:rPr>
        <w:t>ἀπολογία</w:t>
      </w:r>
      <w:r w:rsidRPr="00AF314C">
        <w:rPr>
          <w:rFonts w:ascii="Alkaios" w:hAnsi="Alkaios" w:cs="Arial"/>
          <w:sz w:val="44"/>
          <w:szCs w:val="44"/>
        </w:rPr>
        <w:t xml:space="preserve"> </w:t>
      </w:r>
      <w:r>
        <w:rPr>
          <w:rFonts w:ascii="Alkaios" w:hAnsi="Alkaios" w:cs="Arial"/>
          <w:sz w:val="32"/>
          <w:szCs w:val="32"/>
        </w:rPr>
        <w:t>15-</w:t>
      </w:r>
      <w:r w:rsidR="00E90C3B">
        <w:rPr>
          <w:rFonts w:ascii="Alkaios" w:hAnsi="Alkaios" w:cs="Arial"/>
          <w:sz w:val="32"/>
          <w:szCs w:val="32"/>
        </w:rPr>
        <w:t>21</w:t>
      </w:r>
      <w:r w:rsidRPr="00AF314C">
        <w:rPr>
          <w:rFonts w:ascii="Alkaios" w:hAnsi="Alkaios" w:cs="Arial"/>
          <w:sz w:val="44"/>
          <w:szCs w:val="44"/>
        </w:rPr>
        <w:t xml:space="preserve"> </w:t>
      </w:r>
      <w:hyperlink r:id="rId8" w:anchor="c322" w:history="1">
        <w:r w:rsidRPr="00923D39">
          <w:rPr>
            <w:rStyle w:val="Hyperlink"/>
            <w:rFonts w:ascii="Alkaios" w:hAnsi="Alkaios" w:cs="Arial"/>
            <w:sz w:val="32"/>
            <w:szCs w:val="32"/>
          </w:rPr>
          <w:t>docx</w:t>
        </w:r>
      </w:hyperlink>
    </w:p>
    <w:p w14:paraId="3F13F588" w14:textId="07A72F2E" w:rsidR="00B7561E" w:rsidRDefault="00995298" w:rsidP="00E90C3B">
      <w:pPr>
        <w:pStyle w:val="Listenabsatz"/>
        <w:numPr>
          <w:ilvl w:val="0"/>
          <w:numId w:val="1"/>
        </w:numPr>
        <w:spacing w:line="240" w:lineRule="auto"/>
        <w:ind w:left="0" w:hanging="284"/>
        <w:contextualSpacing w:val="0"/>
        <w:rPr>
          <w:rFonts w:ascii="Alkaios" w:hAnsi="Alkaios" w:cs="Arial"/>
        </w:rPr>
      </w:pPr>
      <w:r w:rsidRPr="00995298">
        <w:rPr>
          <w:rFonts w:ascii="Alkaios" w:hAnsi="Alkaios" w:cs="Arial"/>
        </w:rPr>
        <w:t>μετὰ δὲ ταῦτα, ὦ ἄνδρες, χρόνου μεταξὺ διαγενομένου καὶ ἐμοῦ πολὺ ἀπολελειμμένου τῶν ἐμαυτοῦ κακῶν, προσέρχεταί μοί τις πρεσβῦτις ἄνθρωπος, ὑπὸ γυναικὸς ὑποπεμφθεῖσα ἣν ἐκεῖνος ἐμοίχευεν, ὡς ἐγὼ ὕστερον ἤκουον· αὕτη δὲ ὀργιζομένη καὶ ἀδικεῖσθαι νομίζουσα, ὅτι οὐκέτι ὁμοίως ἐφοίτα παρ</w:t>
      </w:r>
      <w:r w:rsidRPr="00995298">
        <w:rPr>
          <w:rFonts w:ascii="Times New Roman" w:hAnsi="Times New Roman" w:cs="Times New Roman"/>
        </w:rPr>
        <w:t>ʼ</w:t>
      </w:r>
      <w:r w:rsidRPr="00995298">
        <w:rPr>
          <w:rFonts w:ascii="Alkaios" w:hAnsi="Alkaios" w:cs="Arial"/>
        </w:rPr>
        <w:t xml:space="preserve"> </w:t>
      </w:r>
      <w:r w:rsidRPr="00995298">
        <w:rPr>
          <w:rFonts w:ascii="Alkaios" w:hAnsi="Alkaios" w:cs="Alkaios"/>
        </w:rPr>
        <w:t>α</w:t>
      </w:r>
      <w:r w:rsidRPr="00995298">
        <w:rPr>
          <w:rFonts w:ascii="Alkaios" w:hAnsi="Alkaios" w:cs="Arial"/>
        </w:rPr>
        <w:t>ὐτήν, ἐφύλαττεν ἕως ἐξηῦρεν ὅ</w:t>
      </w:r>
      <w:r w:rsidR="00F2064E">
        <w:rPr>
          <w:rStyle w:val="Funotenzeichen"/>
          <w:rFonts w:ascii="Alkaios" w:hAnsi="Alkaios" w:cs="Arial"/>
        </w:rPr>
        <w:footnoteReference w:id="1"/>
      </w:r>
      <w:r w:rsidRPr="00995298">
        <w:rPr>
          <w:rFonts w:ascii="Alkaios" w:hAnsi="Alkaios" w:cs="Arial"/>
        </w:rPr>
        <w:t xml:space="preserve"> τι </w:t>
      </w:r>
      <w:r w:rsidRPr="00F2064E">
        <w:rPr>
          <w:rFonts w:ascii="Alkaios" w:hAnsi="Alkaios" w:cs="Arial"/>
          <w:color w:val="E97132" w:themeColor="accent2"/>
        </w:rPr>
        <w:t>εἴη</w:t>
      </w:r>
      <w:r w:rsidRPr="00995298">
        <w:rPr>
          <w:rFonts w:ascii="Alkaios" w:hAnsi="Alkaios" w:cs="Arial"/>
        </w:rPr>
        <w:t xml:space="preserve"> τὸ </w:t>
      </w:r>
      <w:r w:rsidRPr="004A2142">
        <w:rPr>
          <w:rFonts w:ascii="Alkaios" w:hAnsi="Alkaios" w:cs="Arial"/>
        </w:rPr>
        <w:t>αἴτιον</w:t>
      </w:r>
      <w:r w:rsidRPr="00995298">
        <w:rPr>
          <w:rFonts w:ascii="Alkaios" w:hAnsi="Alkaios" w:cs="Arial"/>
        </w:rPr>
        <w:t xml:space="preserve">. </w:t>
      </w:r>
    </w:p>
    <w:p w14:paraId="51C3D408" w14:textId="0D746975" w:rsidR="00995298" w:rsidRPr="00B7561E" w:rsidRDefault="00995298" w:rsidP="00592EEA">
      <w:pPr>
        <w:pStyle w:val="Listenabsatz"/>
        <w:numPr>
          <w:ilvl w:val="0"/>
          <w:numId w:val="1"/>
        </w:numPr>
        <w:spacing w:line="240" w:lineRule="auto"/>
        <w:ind w:left="0" w:hanging="284"/>
        <w:contextualSpacing w:val="0"/>
        <w:rPr>
          <w:rFonts w:ascii="Alkaios" w:hAnsi="Alkaios" w:cs="Arial"/>
        </w:rPr>
      </w:pPr>
      <w:r w:rsidRPr="00B7561E">
        <w:rPr>
          <w:rFonts w:ascii="Alkaios" w:hAnsi="Alkaios" w:cs="Arial"/>
        </w:rPr>
        <w:t xml:space="preserve">προσελθοῦσα οὖν μοι ἐγγὺς ἡ ἄνθρωπος τῆς οἰκίας τῆς ἐμῆς ἐπιτηροῦσα, </w:t>
      </w:r>
      <w:r w:rsidR="003D12F7" w:rsidRPr="00B7561E">
        <w:rPr>
          <w:rFonts w:ascii="Alkaios" w:hAnsi="Alkaios" w:cs="Arial"/>
          <w:lang w:val="el-GR"/>
        </w:rPr>
        <w:t>Ε</w:t>
      </w:r>
      <w:r w:rsidRPr="00B7561E">
        <w:rPr>
          <w:rFonts w:ascii="Alkaios" w:hAnsi="Alkaios" w:cs="Arial"/>
        </w:rPr>
        <w:t>ὐφίλητε ἔφη μηδεμιᾷ πολυπραγμοσύνῃ προσεληλυθέναι με νόμιζε πρὸς σέ·</w:t>
      </w:r>
      <w:r w:rsidR="00B7561E" w:rsidRPr="00B7561E">
        <w:rPr>
          <w:rFonts w:ascii="Alkaios" w:hAnsi="Alkaios" w:cs="Arial"/>
        </w:rPr>
        <w:t xml:space="preserve"> </w:t>
      </w:r>
      <w:r w:rsidRPr="00B7561E">
        <w:rPr>
          <w:rFonts w:ascii="Alkaios" w:hAnsi="Alkaios" w:cs="Arial"/>
        </w:rPr>
        <w:t>ὁ γὰρ ἀνὴρ ὁ ὑβρίζων εἰς σὲ καὶ τὴν σὴν γυναῖκα ἐχθρὸς ὢν ἡμῖν τυγχάνει. ἐὰν οὖν λάβῃς τὴν θεράπαιναν τὴν εἰς ἀγορὰν βαδίζουσαν καὶ διακονοῦσαν ὑμῖν καὶ βασανίσῃς, ἅπαντα πεύσῃ. ἔστι δ</w:t>
      </w:r>
      <w:r w:rsidRPr="00B7561E">
        <w:rPr>
          <w:rFonts w:ascii="Times New Roman" w:hAnsi="Times New Roman" w:cs="Times New Roman"/>
        </w:rPr>
        <w:t>ʼ</w:t>
      </w:r>
      <w:r w:rsidRPr="00B7561E">
        <w:rPr>
          <w:rFonts w:ascii="Alkaios" w:hAnsi="Alkaios" w:cs="Arial"/>
        </w:rPr>
        <w:t xml:space="preserve"> ἔφη Ἐρατοσθένης Ὀῆθεν ὁ ταῦτα πράττων, ὃς οὐ μόνον τὴν σὴν γυναῖκα διέφθαρκεν ἀλλὰ καὶ ἄλλας πολλάς· ταύτην γὰρ </w:t>
      </w:r>
      <w:r w:rsidR="000F1AEB" w:rsidRPr="00B7561E">
        <w:rPr>
          <w:rFonts w:ascii="Alkaios" w:hAnsi="Alkaios" w:cs="Arial"/>
        </w:rPr>
        <w:t>[</w:t>
      </w:r>
      <w:r w:rsidRPr="00B7561E">
        <w:rPr>
          <w:rFonts w:ascii="Alkaios" w:hAnsi="Alkaios" w:cs="Arial"/>
        </w:rPr>
        <w:t>τὴν] τέχνην ἔχει.</w:t>
      </w:r>
    </w:p>
    <w:p w14:paraId="60AA2A38" w14:textId="77777777" w:rsidR="00995298" w:rsidRPr="00995298" w:rsidRDefault="00995298" w:rsidP="00592EEA">
      <w:pPr>
        <w:pStyle w:val="Listenabsatz"/>
        <w:numPr>
          <w:ilvl w:val="0"/>
          <w:numId w:val="1"/>
        </w:numPr>
        <w:spacing w:line="240" w:lineRule="auto"/>
        <w:ind w:left="0" w:hanging="284"/>
        <w:contextualSpacing w:val="0"/>
        <w:rPr>
          <w:rFonts w:ascii="Alkaios" w:hAnsi="Alkaios" w:cs="Arial"/>
        </w:rPr>
      </w:pPr>
      <w:r w:rsidRPr="00995298">
        <w:rPr>
          <w:rFonts w:ascii="Alkaios" w:hAnsi="Alkaios" w:cs="Arial"/>
        </w:rPr>
        <w:t>ταῦτα εἰποῦσα, ὦ ἄνδρες, ἐκείνη μὲν ἀπηλλάγη, ἐγὼ δ</w:t>
      </w:r>
      <w:r w:rsidRPr="00995298">
        <w:rPr>
          <w:rFonts w:ascii="Times New Roman" w:hAnsi="Times New Roman" w:cs="Times New Roman"/>
        </w:rPr>
        <w:t>ʼ</w:t>
      </w:r>
      <w:r w:rsidRPr="00995298">
        <w:rPr>
          <w:rFonts w:ascii="Alkaios" w:hAnsi="Alkaios" w:cs="Arial"/>
        </w:rPr>
        <w:t xml:space="preserve"> </w:t>
      </w:r>
      <w:r w:rsidRPr="00995298">
        <w:rPr>
          <w:rFonts w:ascii="Alkaios" w:hAnsi="Alkaios" w:cs="Alkaios"/>
        </w:rPr>
        <w:t>ε</w:t>
      </w:r>
      <w:r w:rsidRPr="00995298">
        <w:rPr>
          <w:rFonts w:ascii="Alkaios" w:hAnsi="Alkaios" w:cs="Arial"/>
        </w:rPr>
        <w:t xml:space="preserve">ὐθέως ἐταραττόμην, καὶ πάντα μου εἰς τὴν γνώμην εἰσῄει, καὶ μεστὸς ἦ ὑποψίας, ἐνθυμούμενος μὲν ὡς ἀπεκλῄσθην ἐν τῷ δωματίῳ, ἀναμιμνῃσκόμενος δὲ ὅτι ἐν ἐκείνῃ τῇ νυκτὶ ἐψόφει ἡ μέταυλος θύρα καὶ ἡ αὔλειος, ὃ οὐδέποτε ἐγένετο, ἔδοξέ τέ μοι ἡ γυνὴ ἐψιμυθιῶσθαι. ταῦτά μου πάντα εἰς τὴν γνώμην εἰσῄει, καὶ μεστὸς ἦ </w:t>
      </w:r>
      <w:r w:rsidRPr="004A2142">
        <w:rPr>
          <w:rFonts w:ascii="Alkaios" w:hAnsi="Alkaios" w:cs="Arial"/>
        </w:rPr>
        <w:t>ὑποψίας</w:t>
      </w:r>
      <w:r w:rsidRPr="00995298">
        <w:rPr>
          <w:rFonts w:ascii="Alkaios" w:hAnsi="Alkaios" w:cs="Arial"/>
        </w:rPr>
        <w:t>.</w:t>
      </w:r>
    </w:p>
    <w:p w14:paraId="7B229516" w14:textId="067F7F50" w:rsidR="00995298" w:rsidRPr="00995298" w:rsidRDefault="00995298" w:rsidP="00592EEA">
      <w:pPr>
        <w:pStyle w:val="Listenabsatz"/>
        <w:numPr>
          <w:ilvl w:val="0"/>
          <w:numId w:val="1"/>
        </w:numPr>
        <w:spacing w:line="240" w:lineRule="auto"/>
        <w:ind w:left="0" w:hanging="284"/>
        <w:contextualSpacing w:val="0"/>
        <w:rPr>
          <w:rFonts w:ascii="Alkaios" w:hAnsi="Alkaios" w:cs="Arial"/>
        </w:rPr>
      </w:pPr>
      <w:r w:rsidRPr="00995298">
        <w:rPr>
          <w:rFonts w:ascii="Alkaios" w:hAnsi="Alkaios" w:cs="Arial"/>
        </w:rPr>
        <w:t>ἐλθὼν δὲ οἴκαδε ἐκέλευον ἀκολουθεῖν μοι τὴν θεράπαιναν εἰς τὴν ἀγοράν, ἀγαγὼν δ</w:t>
      </w:r>
      <w:r w:rsidRPr="00995298">
        <w:rPr>
          <w:rFonts w:ascii="Times New Roman" w:hAnsi="Times New Roman" w:cs="Times New Roman"/>
        </w:rPr>
        <w:t>ʼ</w:t>
      </w:r>
      <w:r w:rsidRPr="00995298">
        <w:rPr>
          <w:rFonts w:ascii="Alkaios" w:hAnsi="Alkaios" w:cs="Arial"/>
        </w:rPr>
        <w:t xml:space="preserve"> </w:t>
      </w:r>
      <w:r w:rsidRPr="00995298">
        <w:rPr>
          <w:rFonts w:ascii="Alkaios" w:hAnsi="Alkaios" w:cs="Alkaios"/>
        </w:rPr>
        <w:t>α</w:t>
      </w:r>
      <w:r w:rsidRPr="00995298">
        <w:rPr>
          <w:rFonts w:ascii="Alkaios" w:hAnsi="Alkaios" w:cs="Arial"/>
        </w:rPr>
        <w:t xml:space="preserve">ὐτὴν ὡς τῶν </w:t>
      </w:r>
      <w:r w:rsidRPr="009D3EA5">
        <w:rPr>
          <w:rFonts w:ascii="Alkaios" w:hAnsi="Alkaios" w:cs="Arial"/>
        </w:rPr>
        <w:t>ἐπιτηδείων</w:t>
      </w:r>
      <w:r w:rsidRPr="00995298">
        <w:rPr>
          <w:rFonts w:ascii="Alkaios" w:hAnsi="Alkaios" w:cs="Arial"/>
        </w:rPr>
        <w:t xml:space="preserve"> τινὰ ἔλεγον ὅτι</w:t>
      </w:r>
      <w:r w:rsidR="00FE5634">
        <w:rPr>
          <w:rStyle w:val="Funotenzeichen"/>
          <w:rFonts w:ascii="Alkaios" w:hAnsi="Alkaios" w:cs="Arial"/>
        </w:rPr>
        <w:footnoteReference w:id="2"/>
      </w:r>
      <w:r w:rsidRPr="00995298">
        <w:rPr>
          <w:rFonts w:ascii="Alkaios" w:hAnsi="Alkaios" w:cs="Arial"/>
        </w:rPr>
        <w:t xml:space="preserve"> ἐγὼ πάντα </w:t>
      </w:r>
      <w:r w:rsidRPr="009D11B9">
        <w:rPr>
          <w:rFonts w:ascii="Alkaios" w:hAnsi="Alkaios" w:cs="Arial"/>
          <w:color w:val="E97132" w:themeColor="accent2"/>
        </w:rPr>
        <w:t>εἴην</w:t>
      </w:r>
      <w:r w:rsidRPr="00995298">
        <w:rPr>
          <w:rFonts w:ascii="Alkaios" w:hAnsi="Alkaios" w:cs="Arial"/>
        </w:rPr>
        <w:t xml:space="preserve"> πεπυσμένος τὰ γιγνόμενα ἐν τῇ οἰκίᾳ· σοὶ οὖν ἔφην ἔξεστι δυοῖν ὁπότερον βούλει ἑλέσθαι, ἢ μαστιγωθεῖσαν εἰς μύλωνα ἐμπεσεῖν καὶ μηδέποτε παύσασθαι κακοῖς τοιούτοις συνεχομένην, ἢ κατειποῦσαν ἅπαντα τἀληθῆ μηδὲν παθεῖν κακόν, ἀλλὰ συγγνώμης παρ</w:t>
      </w:r>
      <w:r w:rsidRPr="00995298">
        <w:rPr>
          <w:rFonts w:ascii="Times New Roman" w:hAnsi="Times New Roman" w:cs="Times New Roman"/>
        </w:rPr>
        <w:t>ʼ</w:t>
      </w:r>
      <w:r w:rsidRPr="00995298">
        <w:rPr>
          <w:rFonts w:ascii="Alkaios" w:hAnsi="Alkaios" w:cs="Arial"/>
        </w:rPr>
        <w:t xml:space="preserve"> ἐμοῦ τυχεῖν τῶν ἡμαρτημένων. </w:t>
      </w:r>
      <w:r w:rsidRPr="00FE5634">
        <w:rPr>
          <w:rFonts w:ascii="Alkaios" w:hAnsi="Alkaios" w:cs="Arial"/>
          <w:color w:val="E97132" w:themeColor="accent2"/>
        </w:rPr>
        <w:t>ψεύσῃ</w:t>
      </w:r>
      <w:r w:rsidR="009948A3">
        <w:rPr>
          <w:rStyle w:val="Funotenzeichen"/>
          <w:rFonts w:ascii="Alkaios" w:hAnsi="Alkaios" w:cs="Arial"/>
        </w:rPr>
        <w:footnoteReference w:id="3"/>
      </w:r>
      <w:r w:rsidRPr="00995298">
        <w:rPr>
          <w:rFonts w:ascii="Alkaios" w:hAnsi="Alkaios" w:cs="Arial"/>
        </w:rPr>
        <w:t xml:space="preserve"> δὲ μηδέν, ἀλλὰ πάντα τἀληθῆ λέγε.</w:t>
      </w:r>
    </w:p>
    <w:p w14:paraId="2C152460" w14:textId="230891B9" w:rsidR="004A71EA" w:rsidRPr="004A71EA" w:rsidRDefault="00995298" w:rsidP="00592EEA">
      <w:pPr>
        <w:pStyle w:val="Listenabsatz"/>
        <w:numPr>
          <w:ilvl w:val="0"/>
          <w:numId w:val="1"/>
        </w:numPr>
        <w:spacing w:line="240" w:lineRule="auto"/>
        <w:ind w:left="0" w:hanging="284"/>
        <w:contextualSpacing w:val="0"/>
        <w:rPr>
          <w:rFonts w:ascii="Alkaios" w:hAnsi="Alkaios" w:cs="Arial"/>
        </w:rPr>
      </w:pPr>
      <w:r w:rsidRPr="004A71EA">
        <w:rPr>
          <w:rFonts w:ascii="Alkaios" w:hAnsi="Alkaios" w:cs="Arial"/>
        </w:rPr>
        <w:t>κἀκείνη τὸ μὲν πρῶτον ἔξαρνος ἦν, καὶ ποιεῖν ἐκέλευεν ὅ τι βούλομαι· οὐδὲν γὰρ εἰδέναι</w:t>
      </w:r>
      <w:r w:rsidR="007F6043">
        <w:rPr>
          <w:rStyle w:val="Funotenzeichen"/>
          <w:rFonts w:ascii="Alkaios" w:hAnsi="Alkaios" w:cs="Arial"/>
        </w:rPr>
        <w:footnoteReference w:id="4"/>
      </w:r>
      <w:r w:rsidRPr="004A71EA">
        <w:rPr>
          <w:rFonts w:ascii="Alkaios" w:hAnsi="Alkaios" w:cs="Arial"/>
        </w:rPr>
        <w:t xml:space="preserve">· ἐπειδὴ δὲ ἐγὼ ἐμνήσθην Ἐρατοσθένους πρὸς αὐτήν, καὶ εἶπον ὅτι οὗτος ὁ φοιτῶν </w:t>
      </w:r>
      <w:r w:rsidRPr="00546921">
        <w:rPr>
          <w:rFonts w:ascii="Alkaios" w:hAnsi="Alkaios" w:cs="Arial"/>
          <w:color w:val="E97132" w:themeColor="accent2"/>
        </w:rPr>
        <w:t>εἴη</w:t>
      </w:r>
      <w:r w:rsidRPr="004A71EA">
        <w:rPr>
          <w:rFonts w:ascii="Alkaios" w:hAnsi="Alkaios" w:cs="Arial"/>
        </w:rPr>
        <w:t xml:space="preserve"> πρὸς τὴν γυναῖκα, ἐξεπλάγη ἡγησαμένη με πάντα ἀκριβῶς ἐγνωκέναι. καὶ τότε ἤδη πρὸς τὰ γόνατά μου πεσοῦσα,</w:t>
      </w:r>
      <w:r w:rsidR="004A71EA" w:rsidRPr="004A71EA">
        <w:rPr>
          <w:rFonts w:ascii="Alkaios" w:hAnsi="Alkaios" w:cs="Arial"/>
        </w:rPr>
        <w:t xml:space="preserve"> </w:t>
      </w:r>
      <w:r w:rsidRPr="004A71EA">
        <w:rPr>
          <w:rFonts w:ascii="Alkaios" w:hAnsi="Alkaios" w:cs="Arial"/>
        </w:rPr>
        <w:t>καὶ πίστιν παρ</w:t>
      </w:r>
      <w:r w:rsidRPr="004A71EA">
        <w:rPr>
          <w:rFonts w:ascii="Times New Roman" w:hAnsi="Times New Roman" w:cs="Times New Roman"/>
        </w:rPr>
        <w:t>ʼ</w:t>
      </w:r>
      <w:r w:rsidRPr="004A71EA">
        <w:rPr>
          <w:rFonts w:ascii="Alkaios" w:hAnsi="Alkaios" w:cs="Arial"/>
        </w:rPr>
        <w:t xml:space="preserve"> ἐμοῦ λαβοῦσα μηδὲν πείσεσθαι κακόν, </w:t>
      </w:r>
    </w:p>
    <w:p w14:paraId="4CD49CEA" w14:textId="7037DF88" w:rsidR="004A71EA" w:rsidRDefault="00995298" w:rsidP="00592EEA">
      <w:pPr>
        <w:pStyle w:val="Listenabsatz"/>
        <w:numPr>
          <w:ilvl w:val="0"/>
          <w:numId w:val="1"/>
        </w:numPr>
        <w:spacing w:line="240" w:lineRule="auto"/>
        <w:ind w:left="0" w:hanging="284"/>
        <w:contextualSpacing w:val="0"/>
        <w:rPr>
          <w:rFonts w:ascii="Alkaios" w:hAnsi="Alkaios" w:cs="Arial"/>
        </w:rPr>
      </w:pPr>
      <w:r w:rsidRPr="00267027">
        <w:rPr>
          <w:rFonts w:ascii="Alkaios" w:hAnsi="Alkaios" w:cs="Arial"/>
        </w:rPr>
        <w:t>κατηγόρει</w:t>
      </w:r>
      <w:r w:rsidRPr="00995298">
        <w:rPr>
          <w:rFonts w:ascii="Alkaios" w:hAnsi="Alkaios" w:cs="Arial"/>
        </w:rPr>
        <w:t xml:space="preserve"> πρῶτον μὲν ὡς μετὰ τὴν ἐκφορὰν αὐτῇ </w:t>
      </w:r>
      <w:r w:rsidRPr="00546921">
        <w:rPr>
          <w:rFonts w:ascii="Alkaios" w:hAnsi="Alkaios" w:cs="Arial"/>
          <w:color w:val="E97132" w:themeColor="accent2"/>
        </w:rPr>
        <w:t>προσίοι</w:t>
      </w:r>
      <w:r w:rsidRPr="00995298">
        <w:rPr>
          <w:rFonts w:ascii="Alkaios" w:hAnsi="Alkaios" w:cs="Arial"/>
        </w:rPr>
        <w:t xml:space="preserve">, ἔπειτα ὡς αὐτὴ τελευτῶσα </w:t>
      </w:r>
      <w:r w:rsidRPr="00546921">
        <w:rPr>
          <w:rFonts w:ascii="Alkaios" w:hAnsi="Alkaios" w:cs="Arial"/>
          <w:color w:val="E97132" w:themeColor="accent2"/>
        </w:rPr>
        <w:t>εἰσαγγείλειε</w:t>
      </w:r>
      <w:r w:rsidRPr="00995298">
        <w:rPr>
          <w:rFonts w:ascii="Alkaios" w:hAnsi="Alkaios" w:cs="Arial"/>
        </w:rPr>
        <w:t xml:space="preserve"> καὶ ὡς ἐκείνη τῷ χρόνῳ </w:t>
      </w:r>
      <w:r w:rsidRPr="00546921">
        <w:rPr>
          <w:rFonts w:ascii="Alkaios" w:hAnsi="Alkaios" w:cs="Arial"/>
          <w:color w:val="E97132" w:themeColor="accent2"/>
        </w:rPr>
        <w:t>πεισθείη</w:t>
      </w:r>
      <w:r w:rsidRPr="00995298">
        <w:rPr>
          <w:rFonts w:ascii="Alkaios" w:hAnsi="Alkaios" w:cs="Arial"/>
        </w:rPr>
        <w:t>, καὶ τὰς εἰσόδους</w:t>
      </w:r>
      <w:r w:rsidR="005E11A2">
        <w:rPr>
          <w:rStyle w:val="Funotenzeichen"/>
          <w:rFonts w:ascii="Alkaios" w:hAnsi="Alkaios" w:cs="Arial"/>
        </w:rPr>
        <w:footnoteReference w:id="5"/>
      </w:r>
      <w:r w:rsidRPr="00995298">
        <w:rPr>
          <w:rFonts w:ascii="Alkaios" w:hAnsi="Alkaios" w:cs="Arial"/>
        </w:rPr>
        <w:t xml:space="preserve"> οἷς τρόποις προσ</w:t>
      </w:r>
      <w:r w:rsidR="00546921">
        <w:rPr>
          <w:rFonts w:ascii="Alkaios" w:hAnsi="Alkaios" w:cs="Arial"/>
          <w:lang w:val="el-GR"/>
        </w:rPr>
        <w:t>ιεῖ</w:t>
      </w:r>
      <w:r w:rsidRPr="00995298">
        <w:rPr>
          <w:rFonts w:ascii="Alkaios" w:hAnsi="Alkaios" w:cs="Arial"/>
        </w:rPr>
        <w:t>το, καὶ ὡς Θεσμοφορίοις</w:t>
      </w:r>
      <w:r w:rsidR="006B38FA">
        <w:rPr>
          <w:rStyle w:val="Funotenzeichen"/>
          <w:rFonts w:ascii="Alkaios" w:hAnsi="Alkaios" w:cs="Arial"/>
        </w:rPr>
        <w:footnoteReference w:id="6"/>
      </w:r>
      <w:r w:rsidRPr="00995298">
        <w:rPr>
          <w:rFonts w:ascii="Alkaios" w:hAnsi="Alkaios" w:cs="Arial"/>
        </w:rPr>
        <w:t xml:space="preserve"> ἐμοῦ ἐν ἀγρῷ ὄντος ᾤχετο εἰς τὸ ἱερὸν μετὰ τῆς μητρὸς τῆς ἐκείνου· καὶ τἆλλα τὰ γενόμενα πάντα ἀκριβῶς διηγήσατο. </w:t>
      </w:r>
    </w:p>
    <w:p w14:paraId="26238B20" w14:textId="61C8A97A" w:rsidR="002D2FE4" w:rsidRPr="00E90C3B" w:rsidRDefault="00995298" w:rsidP="002D2FE4">
      <w:pPr>
        <w:pStyle w:val="Listenabsatz"/>
        <w:numPr>
          <w:ilvl w:val="0"/>
          <w:numId w:val="1"/>
        </w:numPr>
        <w:spacing w:line="240" w:lineRule="auto"/>
        <w:ind w:left="0" w:right="-142" w:hanging="284"/>
        <w:contextualSpacing w:val="0"/>
        <w:rPr>
          <w:rFonts w:ascii="Alkaios" w:hAnsi="Alkaios" w:cs="Arial"/>
          <w:sz w:val="32"/>
          <w:szCs w:val="32"/>
        </w:rPr>
      </w:pPr>
      <w:r w:rsidRPr="002D2FE4">
        <w:rPr>
          <w:rFonts w:ascii="Alkaios" w:hAnsi="Alkaios" w:cs="Arial"/>
        </w:rPr>
        <w:t>ἐπειδὴ δὲ πάντα εἴρητο</w:t>
      </w:r>
      <w:r w:rsidR="000D02B3">
        <w:rPr>
          <w:rFonts w:ascii="Alkaios" w:hAnsi="Alkaios" w:cs="Arial"/>
        </w:rPr>
        <w:t xml:space="preserve"> </w:t>
      </w:r>
      <w:r w:rsidR="000D02B3" w:rsidRPr="002D2FE4">
        <w:rPr>
          <w:rFonts w:ascii="Alkaios" w:hAnsi="Alkaios" w:cs="Arial"/>
        </w:rPr>
        <w:t>αὐτῇ</w:t>
      </w:r>
      <w:r w:rsidR="000D02B3">
        <w:rPr>
          <w:rStyle w:val="Funotenzeichen"/>
          <w:rFonts w:ascii="Alkaios" w:hAnsi="Alkaios" w:cs="Arial"/>
        </w:rPr>
        <w:footnoteReference w:id="7"/>
      </w:r>
      <w:r w:rsidRPr="002D2FE4">
        <w:rPr>
          <w:rFonts w:ascii="Alkaios" w:hAnsi="Alkaios" w:cs="Arial"/>
        </w:rPr>
        <w:t>,</w:t>
      </w:r>
      <w:r w:rsidR="004A71EA" w:rsidRPr="002D2FE4">
        <w:rPr>
          <w:rFonts w:ascii="Alkaios" w:hAnsi="Alkaios" w:cs="Arial"/>
        </w:rPr>
        <w:t xml:space="preserve"> </w:t>
      </w:r>
      <w:r w:rsidRPr="002D2FE4">
        <w:rPr>
          <w:rFonts w:ascii="Alkaios" w:hAnsi="Alkaios" w:cs="Arial"/>
        </w:rPr>
        <w:t>εἶπον ἐγώ, ὅπως</w:t>
      </w:r>
      <w:r w:rsidR="007019BE">
        <w:rPr>
          <w:rStyle w:val="Funotenzeichen"/>
          <w:rFonts w:ascii="Alkaios" w:hAnsi="Alkaios" w:cs="Arial"/>
        </w:rPr>
        <w:footnoteReference w:id="8"/>
      </w:r>
      <w:r w:rsidRPr="002D2FE4">
        <w:rPr>
          <w:rFonts w:ascii="Alkaios" w:hAnsi="Alkaios" w:cs="Arial"/>
        </w:rPr>
        <w:t xml:space="preserve"> τοίνυν ταῦτα μηδεὶς ἀνθρώπων πεύσεται· εἰ δέ μή, οὐδέν σοι κύριον ἔσται τῶν πρὸς ἔμ</w:t>
      </w:r>
      <w:r w:rsidRPr="002D2FE4">
        <w:rPr>
          <w:rFonts w:ascii="Times New Roman" w:hAnsi="Times New Roman" w:cs="Times New Roman"/>
        </w:rPr>
        <w:t>ʼ</w:t>
      </w:r>
      <w:r w:rsidRPr="002D2FE4">
        <w:rPr>
          <w:rFonts w:ascii="Alkaios" w:hAnsi="Alkaios" w:cs="Arial"/>
        </w:rPr>
        <w:t xml:space="preserve"> ὡμολογημένων. ἀξιῶ δέ σε ἐπ</w:t>
      </w:r>
      <w:r w:rsidRPr="002D2FE4">
        <w:rPr>
          <w:rFonts w:ascii="Times New Roman" w:hAnsi="Times New Roman" w:cs="Times New Roman"/>
        </w:rPr>
        <w:t>ʼ</w:t>
      </w:r>
      <w:r w:rsidRPr="002D2FE4">
        <w:rPr>
          <w:rFonts w:ascii="Alkaios" w:hAnsi="Alkaios" w:cs="Arial"/>
        </w:rPr>
        <w:t xml:space="preserve"> </w:t>
      </w:r>
      <w:r w:rsidRPr="002D2FE4">
        <w:rPr>
          <w:rFonts w:ascii="Alkaios" w:hAnsi="Alkaios" w:cs="Alkaios"/>
        </w:rPr>
        <w:t>α</w:t>
      </w:r>
      <w:r w:rsidRPr="002D2FE4">
        <w:rPr>
          <w:rFonts w:ascii="Alkaios" w:hAnsi="Alkaios" w:cs="Arial"/>
        </w:rPr>
        <w:t>ὐτοφώρῳ ταῦτά μοι ἐπιδεῖξαι· ἐγὼ γὰρ οὐδὲν δέομαι λόγων, ἀλλὰ τὸ ἔργον φανερὸν γενέσθαι, εἴπερ οὕτως ἔχει.</w:t>
      </w:r>
      <w:r w:rsidR="007479F4" w:rsidRPr="002D2FE4">
        <w:rPr>
          <w:rFonts w:ascii="Alkaios" w:hAnsi="Alkaios" w:cs="Arial"/>
        </w:rPr>
        <w:t xml:space="preserve"> </w:t>
      </w:r>
      <w:r w:rsidRPr="002D2FE4">
        <w:rPr>
          <w:rFonts w:ascii="Alkaios" w:hAnsi="Alkaios" w:cs="Arial"/>
        </w:rPr>
        <w:t xml:space="preserve">ὡμολόγει ταῦτα ποιήσειν. </w:t>
      </w:r>
    </w:p>
    <w:sectPr w:rsidR="002D2FE4" w:rsidRPr="00E90C3B" w:rsidSect="007019BE">
      <w:pgSz w:w="11906" w:h="16838"/>
      <w:pgMar w:top="851" w:right="1133"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D9337" w14:textId="77777777" w:rsidR="002406D9" w:rsidRDefault="002406D9" w:rsidP="00075A12">
      <w:pPr>
        <w:spacing w:after="0" w:line="240" w:lineRule="auto"/>
      </w:pPr>
      <w:r>
        <w:separator/>
      </w:r>
    </w:p>
  </w:endnote>
  <w:endnote w:type="continuationSeparator" w:id="0">
    <w:p w14:paraId="6DADA97A" w14:textId="77777777" w:rsidR="002406D9" w:rsidRDefault="002406D9" w:rsidP="00075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kaios">
    <w:panose1 w:val="00000400000000000000"/>
    <w:charset w:val="00"/>
    <w:family w:val="auto"/>
    <w:pitch w:val="variable"/>
    <w:sig w:usb0="C00002EF" w:usb1="1000E0EA" w:usb2="00000000" w:usb3="00000000" w:csb0="0000009B" w:csb1="00000000"/>
  </w:font>
  <w:font w:name="Arial">
    <w:panose1 w:val="020B0604020202020204"/>
    <w:charset w:val="00"/>
    <w:family w:val="swiss"/>
    <w:pitch w:val="variable"/>
    <w:sig w:usb0="E0002EFF" w:usb1="C000785B" w:usb2="00000009" w:usb3="00000000" w:csb0="000001FF" w:csb1="00000000"/>
  </w:font>
  <w:font w:name="Alexander">
    <w:panose1 w:val="02020602090805090A03"/>
    <w:charset w:val="00"/>
    <w:family w:val="roman"/>
    <w:pitch w:val="variable"/>
    <w:sig w:usb0="E00002FF" w:usb1="5200F8DB" w:usb2="05000021"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19C06" w14:textId="77777777" w:rsidR="002406D9" w:rsidRDefault="002406D9" w:rsidP="00075A12">
      <w:pPr>
        <w:spacing w:after="0" w:line="240" w:lineRule="auto"/>
      </w:pPr>
      <w:r>
        <w:separator/>
      </w:r>
    </w:p>
  </w:footnote>
  <w:footnote w:type="continuationSeparator" w:id="0">
    <w:p w14:paraId="09F9026D" w14:textId="77777777" w:rsidR="002406D9" w:rsidRDefault="002406D9" w:rsidP="00075A12">
      <w:pPr>
        <w:spacing w:after="0" w:line="240" w:lineRule="auto"/>
      </w:pPr>
      <w:r>
        <w:continuationSeparator/>
      </w:r>
    </w:p>
  </w:footnote>
  <w:footnote w:id="1">
    <w:p w14:paraId="33C9AD83" w14:textId="041699F1" w:rsidR="00F2064E" w:rsidRPr="009D3EA5" w:rsidRDefault="00F2064E" w:rsidP="006B38FA">
      <w:pPr>
        <w:pStyle w:val="Funotentext"/>
        <w:ind w:left="0" w:right="-284"/>
        <w:rPr>
          <w:rFonts w:ascii="Alexander" w:hAnsi="Alexander"/>
        </w:rPr>
      </w:pPr>
      <w:r w:rsidRPr="009D3EA5">
        <w:rPr>
          <w:rStyle w:val="Funotenzeichen"/>
          <w:rFonts w:ascii="Alexander" w:hAnsi="Alexander"/>
        </w:rPr>
        <w:footnoteRef/>
      </w:r>
      <w:r w:rsidRPr="009D3EA5">
        <w:rPr>
          <w:rFonts w:ascii="Alexander" w:hAnsi="Alexander"/>
        </w:rPr>
        <w:t xml:space="preserve"> </w:t>
      </w:r>
      <w:r w:rsidRPr="009D3EA5">
        <w:rPr>
          <w:rFonts w:ascii="Alexander" w:hAnsi="Alexander" w:cs="Arial"/>
        </w:rPr>
        <w:t xml:space="preserve">ὅ τι </w:t>
      </w:r>
      <w:r w:rsidRPr="009D3EA5">
        <w:rPr>
          <w:rFonts w:ascii="Alexander" w:hAnsi="Alexander" w:cs="Arial"/>
          <w:lang w:val="el-GR"/>
        </w:rPr>
        <w:t>εἴη</w:t>
      </w:r>
      <w:r w:rsidRPr="009D3EA5">
        <w:rPr>
          <w:rFonts w:ascii="Alexander" w:hAnsi="Alexander" w:cs="Arial"/>
        </w:rPr>
        <w:t xml:space="preserve">: Opt. </w:t>
      </w:r>
      <w:r w:rsidRPr="00546921">
        <w:rPr>
          <w:rFonts w:ascii="Alexander" w:hAnsi="Alexander" w:cs="Arial"/>
          <w:b/>
          <w:bCs/>
        </w:rPr>
        <w:t xml:space="preserve">ohne </w:t>
      </w:r>
      <w:r w:rsidRPr="00546921">
        <w:rPr>
          <w:rFonts w:ascii="Alexander" w:hAnsi="Alexander" w:cs="Arial"/>
          <w:b/>
          <w:bCs/>
          <w:lang w:val="el-GR"/>
        </w:rPr>
        <w:t>ἄν</w:t>
      </w:r>
      <w:r w:rsidRPr="009D3EA5">
        <w:rPr>
          <w:rFonts w:ascii="Alexander" w:hAnsi="Alexander" w:cs="Arial"/>
        </w:rPr>
        <w:t xml:space="preserve"> in Fragesatz </w:t>
      </w:r>
      <w:r w:rsidR="009D3EA5" w:rsidRPr="009D3EA5">
        <w:rPr>
          <w:rFonts w:ascii="Alexander" w:hAnsi="Alexander" w:cs="Arial"/>
        </w:rPr>
        <w:t>beim HS in Vergangenheit: ind.Rede (obliquer Opt.)</w:t>
      </w:r>
      <w:r w:rsidR="000242C2">
        <w:rPr>
          <w:rFonts w:ascii="Alexander" w:hAnsi="Alexander" w:cs="Arial"/>
        </w:rPr>
        <w:t xml:space="preserve"> – so auch die folgenden Opt.e</w:t>
      </w:r>
    </w:p>
  </w:footnote>
  <w:footnote w:id="2">
    <w:p w14:paraId="6443E3F2" w14:textId="58521B2C" w:rsidR="00FE5634" w:rsidRPr="00923D39" w:rsidRDefault="00FE5634" w:rsidP="006B38FA">
      <w:pPr>
        <w:pStyle w:val="Funotentext"/>
        <w:ind w:left="0" w:right="-284"/>
        <w:rPr>
          <w:rFonts w:ascii="Alexander" w:hAnsi="Alexander"/>
        </w:rPr>
      </w:pPr>
      <w:r w:rsidRPr="009D3EA5">
        <w:rPr>
          <w:rStyle w:val="Funotenzeichen"/>
          <w:rFonts w:ascii="Alexander" w:hAnsi="Alexander"/>
        </w:rPr>
        <w:footnoteRef/>
      </w:r>
      <w:r w:rsidRPr="00923D39">
        <w:rPr>
          <w:rFonts w:ascii="Alexander" w:hAnsi="Alexander"/>
        </w:rPr>
        <w:t xml:space="preserve"> </w:t>
      </w:r>
      <w:r w:rsidRPr="009D3EA5">
        <w:rPr>
          <w:rFonts w:ascii="Alexander" w:hAnsi="Alexander" w:cs="Arial"/>
          <w:lang w:val="el-GR"/>
        </w:rPr>
        <w:t>ἔλεγον</w:t>
      </w:r>
      <w:r w:rsidRPr="00923D39">
        <w:rPr>
          <w:rFonts w:ascii="Alexander" w:hAnsi="Alexander" w:cs="Arial"/>
        </w:rPr>
        <w:t xml:space="preserve"> </w:t>
      </w:r>
      <w:r w:rsidRPr="009D3EA5">
        <w:rPr>
          <w:rFonts w:ascii="Alexander" w:hAnsi="Alexander" w:cs="Arial"/>
          <w:lang w:val="el-GR"/>
        </w:rPr>
        <w:t>ὅτι</w:t>
      </w:r>
      <w:r w:rsidRPr="00923D39">
        <w:rPr>
          <w:rFonts w:ascii="Alexander" w:hAnsi="Alexander" w:cs="Arial"/>
        </w:rPr>
        <w:t xml:space="preserve"> </w:t>
      </w:r>
      <w:r w:rsidRPr="009D3EA5">
        <w:rPr>
          <w:rFonts w:ascii="Alexander" w:hAnsi="Alexander" w:cs="Arial"/>
          <w:lang w:val="el-GR"/>
        </w:rPr>
        <w:t>ἐγὼ</w:t>
      </w:r>
      <w:r w:rsidRPr="00923D39">
        <w:rPr>
          <w:rFonts w:ascii="Alexander" w:hAnsi="Alexander" w:cs="Arial"/>
        </w:rPr>
        <w:t xml:space="preserve"> </w:t>
      </w:r>
      <w:r w:rsidRPr="009D3EA5">
        <w:rPr>
          <w:rFonts w:ascii="Alexander" w:hAnsi="Alexander" w:cs="Arial"/>
          <w:lang w:val="el-GR"/>
        </w:rPr>
        <w:t>πάντα</w:t>
      </w:r>
      <w:r w:rsidRPr="00923D39">
        <w:rPr>
          <w:rFonts w:ascii="Alexander" w:hAnsi="Alexander" w:cs="Arial"/>
        </w:rPr>
        <w:t xml:space="preserve"> </w:t>
      </w:r>
      <w:r w:rsidRPr="009D3EA5">
        <w:rPr>
          <w:rFonts w:ascii="Alexander" w:hAnsi="Alexander" w:cs="Arial"/>
          <w:lang w:val="el-GR"/>
        </w:rPr>
        <w:t>εἴην</w:t>
      </w:r>
      <w:r w:rsidRPr="00923D39">
        <w:rPr>
          <w:rFonts w:ascii="Alexander" w:hAnsi="Alexander" w:cs="Arial"/>
        </w:rPr>
        <w:t xml:space="preserve"> </w:t>
      </w:r>
      <w:r w:rsidRPr="009D3EA5">
        <w:rPr>
          <w:rFonts w:ascii="Alexander" w:hAnsi="Alexander" w:cs="Arial"/>
          <w:lang w:val="el-GR"/>
        </w:rPr>
        <w:t>πεπυσμένος</w:t>
      </w:r>
      <w:r w:rsidRPr="00923D39">
        <w:rPr>
          <w:rFonts w:ascii="Alexander" w:hAnsi="Alexander" w:cs="Arial"/>
        </w:rPr>
        <w:t xml:space="preserve">: </w:t>
      </w:r>
      <w:r w:rsidRPr="009D3EA5">
        <w:rPr>
          <w:rFonts w:ascii="Alexander" w:hAnsi="Alexander" w:cs="Arial"/>
        </w:rPr>
        <w:t>Opt</w:t>
      </w:r>
      <w:r w:rsidRPr="00923D39">
        <w:rPr>
          <w:rFonts w:ascii="Alexander" w:hAnsi="Alexander" w:cs="Arial"/>
        </w:rPr>
        <w:t xml:space="preserve">. </w:t>
      </w:r>
      <w:r w:rsidRPr="00546921">
        <w:rPr>
          <w:rFonts w:ascii="Alexander" w:hAnsi="Alexander" w:cs="Arial"/>
          <w:b/>
          <w:bCs/>
        </w:rPr>
        <w:t>ohne</w:t>
      </w:r>
      <w:r w:rsidRPr="00923D39">
        <w:rPr>
          <w:rFonts w:ascii="Alexander" w:hAnsi="Alexander" w:cs="Arial"/>
          <w:b/>
          <w:bCs/>
        </w:rPr>
        <w:t xml:space="preserve"> </w:t>
      </w:r>
      <w:r w:rsidRPr="00546921">
        <w:rPr>
          <w:rFonts w:ascii="Alexander" w:hAnsi="Alexander" w:cs="Arial"/>
          <w:b/>
          <w:bCs/>
          <w:lang w:val="el-GR"/>
        </w:rPr>
        <w:t>ἄν</w:t>
      </w:r>
      <w:r w:rsidRPr="00923D39">
        <w:rPr>
          <w:rFonts w:ascii="Alexander" w:hAnsi="Alexander" w:cs="Arial"/>
        </w:rPr>
        <w:t xml:space="preserve"> </w:t>
      </w:r>
      <w:r w:rsidRPr="009D3EA5">
        <w:rPr>
          <w:rFonts w:ascii="Alexander" w:hAnsi="Alexander" w:cs="Arial"/>
        </w:rPr>
        <w:t>im</w:t>
      </w:r>
      <w:r w:rsidRPr="00923D39">
        <w:rPr>
          <w:rFonts w:ascii="Alexander" w:hAnsi="Alexander" w:cs="Arial"/>
        </w:rPr>
        <w:t xml:space="preserve"> </w:t>
      </w:r>
      <w:r w:rsidRPr="009D3EA5">
        <w:rPr>
          <w:rFonts w:ascii="Alexander" w:hAnsi="Alexander" w:cs="Arial"/>
        </w:rPr>
        <w:t>Objektsatz</w:t>
      </w:r>
      <w:r w:rsidRPr="00923D39">
        <w:rPr>
          <w:rFonts w:ascii="Alexander" w:hAnsi="Alexander" w:cs="Arial"/>
        </w:rPr>
        <w:t xml:space="preserve"> </w:t>
      </w:r>
      <w:r w:rsidRPr="009D3EA5">
        <w:rPr>
          <w:rFonts w:ascii="Alexander" w:hAnsi="Alexander" w:cs="Arial"/>
        </w:rPr>
        <w:t>beim</w:t>
      </w:r>
      <w:r w:rsidRPr="00923D39">
        <w:rPr>
          <w:rFonts w:ascii="Alexander" w:hAnsi="Alexander" w:cs="Arial"/>
        </w:rPr>
        <w:t xml:space="preserve"> </w:t>
      </w:r>
      <w:r w:rsidRPr="009D3EA5">
        <w:rPr>
          <w:rFonts w:ascii="Alexander" w:hAnsi="Alexander" w:cs="Arial"/>
        </w:rPr>
        <w:t>HS</w:t>
      </w:r>
      <w:r w:rsidRPr="00923D39">
        <w:rPr>
          <w:rFonts w:ascii="Alexander" w:hAnsi="Alexander" w:cs="Arial"/>
        </w:rPr>
        <w:t xml:space="preserve"> </w:t>
      </w:r>
      <w:r w:rsidRPr="009D3EA5">
        <w:rPr>
          <w:rFonts w:ascii="Alexander" w:hAnsi="Alexander" w:cs="Arial"/>
        </w:rPr>
        <w:t>in</w:t>
      </w:r>
      <w:r w:rsidRPr="00923D39">
        <w:rPr>
          <w:rFonts w:ascii="Alexander" w:hAnsi="Alexander" w:cs="Arial"/>
        </w:rPr>
        <w:t xml:space="preserve"> </w:t>
      </w:r>
      <w:r w:rsidRPr="009D3EA5">
        <w:rPr>
          <w:rFonts w:ascii="Alexander" w:hAnsi="Alexander" w:cs="Arial"/>
        </w:rPr>
        <w:t>Vergangenheit</w:t>
      </w:r>
      <w:r w:rsidRPr="00923D39">
        <w:rPr>
          <w:rFonts w:ascii="Alexander" w:hAnsi="Alexander" w:cs="Arial"/>
        </w:rPr>
        <w:t xml:space="preserve">: </w:t>
      </w:r>
      <w:r w:rsidRPr="009D3EA5">
        <w:rPr>
          <w:rFonts w:ascii="Alexander" w:hAnsi="Alexander" w:cs="Arial"/>
        </w:rPr>
        <w:t>ind</w:t>
      </w:r>
      <w:r w:rsidRPr="00923D39">
        <w:rPr>
          <w:rFonts w:ascii="Alexander" w:hAnsi="Alexander" w:cs="Arial"/>
        </w:rPr>
        <w:t>.</w:t>
      </w:r>
      <w:r w:rsidRPr="009D3EA5">
        <w:rPr>
          <w:rFonts w:ascii="Alexander" w:hAnsi="Alexander" w:cs="Arial"/>
        </w:rPr>
        <w:t>Rede</w:t>
      </w:r>
      <w:r w:rsidRPr="00923D39">
        <w:rPr>
          <w:rFonts w:ascii="Alexander" w:hAnsi="Alexander" w:cs="Arial"/>
        </w:rPr>
        <w:t xml:space="preserve"> (</w:t>
      </w:r>
      <w:r w:rsidRPr="009D3EA5">
        <w:rPr>
          <w:rFonts w:ascii="Alexander" w:hAnsi="Alexander" w:cs="Arial"/>
        </w:rPr>
        <w:t>obl</w:t>
      </w:r>
      <w:r w:rsidRPr="00923D39">
        <w:rPr>
          <w:rFonts w:ascii="Alexander" w:hAnsi="Alexander" w:cs="Arial"/>
        </w:rPr>
        <w:t>.</w:t>
      </w:r>
      <w:r w:rsidRPr="009D3EA5">
        <w:rPr>
          <w:rFonts w:ascii="Alexander" w:hAnsi="Alexander" w:cs="Arial"/>
        </w:rPr>
        <w:t>Opt</w:t>
      </w:r>
      <w:r w:rsidRPr="00923D39">
        <w:rPr>
          <w:rFonts w:ascii="Alexander" w:hAnsi="Alexander" w:cs="Arial"/>
        </w:rPr>
        <w:t>.)</w:t>
      </w:r>
    </w:p>
  </w:footnote>
  <w:footnote w:id="3">
    <w:p w14:paraId="2D38F615" w14:textId="66779CA1" w:rsidR="009948A3" w:rsidRPr="009D3EA5" w:rsidRDefault="009948A3" w:rsidP="006B38FA">
      <w:pPr>
        <w:pStyle w:val="Funotentext"/>
        <w:ind w:left="0" w:right="-284"/>
        <w:rPr>
          <w:rFonts w:ascii="Alexander" w:hAnsi="Alexander"/>
        </w:rPr>
      </w:pPr>
      <w:r w:rsidRPr="009D3EA5">
        <w:rPr>
          <w:rStyle w:val="Funotenzeichen"/>
          <w:rFonts w:ascii="Alexander" w:hAnsi="Alexander"/>
        </w:rPr>
        <w:footnoteRef/>
      </w:r>
      <w:r w:rsidRPr="009D3EA5">
        <w:rPr>
          <w:rFonts w:ascii="Alexander" w:hAnsi="Alexander"/>
        </w:rPr>
        <w:t xml:space="preserve"> </w:t>
      </w:r>
      <w:r w:rsidRPr="009D3EA5">
        <w:rPr>
          <w:rFonts w:ascii="Alexander" w:hAnsi="Alexander" w:cs="Arial"/>
        </w:rPr>
        <w:t>ψεύσῃ</w:t>
      </w:r>
      <w:r w:rsidR="00FE5634" w:rsidRPr="009D3EA5">
        <w:rPr>
          <w:rFonts w:ascii="Alexander" w:hAnsi="Alexander" w:cs="Arial"/>
        </w:rPr>
        <w:t xml:space="preserve"> </w:t>
      </w:r>
      <w:r w:rsidR="00FE5634" w:rsidRPr="009D3EA5">
        <w:rPr>
          <w:rFonts w:ascii="Alexander" w:hAnsi="Alexander" w:cs="Arial"/>
          <w:lang w:val="el-GR"/>
        </w:rPr>
        <w:t>μηδέν</w:t>
      </w:r>
      <w:r w:rsidR="00FE5634" w:rsidRPr="009D3EA5">
        <w:rPr>
          <w:rFonts w:ascii="Alexander" w:hAnsi="Alexander" w:cs="Arial"/>
        </w:rPr>
        <w:t xml:space="preserve">: mit </w:t>
      </w:r>
      <w:r w:rsidR="00FE5634" w:rsidRPr="009D3EA5">
        <w:rPr>
          <w:rFonts w:ascii="Alexander" w:hAnsi="Alexander" w:cs="Arial"/>
          <w:lang w:val="el-GR"/>
        </w:rPr>
        <w:t>μή</w:t>
      </w:r>
      <w:r w:rsidR="00FE5634" w:rsidRPr="009D3EA5">
        <w:rPr>
          <w:rFonts w:ascii="Alexander" w:hAnsi="Alexander" w:cs="Arial"/>
        </w:rPr>
        <w:t xml:space="preserve"> verneinter Konj. im Hauptsatz = verneinter Imperativ</w:t>
      </w:r>
      <w:r w:rsidR="000242C2">
        <w:rPr>
          <w:rFonts w:ascii="Alexander" w:hAnsi="Alexander" w:cs="Arial"/>
        </w:rPr>
        <w:t xml:space="preserve"> </w:t>
      </w:r>
    </w:p>
  </w:footnote>
  <w:footnote w:id="4">
    <w:p w14:paraId="1ACB3CD4" w14:textId="5193016D" w:rsidR="007F6043" w:rsidRPr="006B38FA" w:rsidRDefault="007F6043" w:rsidP="006B38FA">
      <w:pPr>
        <w:pStyle w:val="Funotentext"/>
        <w:ind w:left="0" w:right="-284"/>
        <w:rPr>
          <w:rFonts w:ascii="Alexander" w:hAnsi="Alexander" w:cs="Arial"/>
        </w:rPr>
      </w:pPr>
      <w:r w:rsidRPr="004B51E5">
        <w:rPr>
          <w:rStyle w:val="Funotenzeichen"/>
          <w:i/>
          <w:iCs/>
        </w:rPr>
        <w:footnoteRef/>
      </w:r>
      <w:r>
        <w:t xml:space="preserve"> </w:t>
      </w:r>
      <w:r w:rsidRPr="004B51E5">
        <w:rPr>
          <w:rFonts w:ascii="Alexander" w:hAnsi="Alexander" w:cs="Arial"/>
          <w:lang w:val="el-GR"/>
        </w:rPr>
        <w:t>εἰδέναι</w:t>
      </w:r>
      <w:r w:rsidRPr="006B38FA">
        <w:rPr>
          <w:rFonts w:ascii="Alexander" w:hAnsi="Alexander" w:cs="Arial"/>
        </w:rPr>
        <w:t xml:space="preserve"> erg. </w:t>
      </w:r>
      <w:r w:rsidRPr="004B51E5">
        <w:rPr>
          <w:rFonts w:ascii="Alexander" w:hAnsi="Alexander" w:cs="Arial"/>
          <w:lang w:val="el-GR"/>
        </w:rPr>
        <w:t>αὐτήν</w:t>
      </w:r>
      <w:r w:rsidRPr="006B38FA">
        <w:rPr>
          <w:rFonts w:ascii="Alexander" w:hAnsi="Alexander" w:cs="Arial"/>
        </w:rPr>
        <w:t>: auch der AcI kann die ind.Rede bilden.</w:t>
      </w:r>
    </w:p>
  </w:footnote>
  <w:footnote w:id="5">
    <w:p w14:paraId="4BA16990" w14:textId="68196AF3" w:rsidR="005E11A2" w:rsidRDefault="005E11A2" w:rsidP="006B38FA">
      <w:pPr>
        <w:pStyle w:val="Funotentext"/>
        <w:ind w:left="0" w:right="-284"/>
      </w:pPr>
      <w:r>
        <w:rPr>
          <w:rStyle w:val="Funotenzeichen"/>
        </w:rPr>
        <w:footnoteRef/>
      </w:r>
      <w:r>
        <w:t xml:space="preserve"> </w:t>
      </w:r>
      <w:r w:rsidRPr="005E11A2">
        <w:rPr>
          <w:rFonts w:ascii="Alexander" w:hAnsi="Alexander" w:cs="Arial"/>
          <w:lang w:val="el-GR"/>
        </w:rPr>
        <w:t>τὰς</w:t>
      </w:r>
      <w:r w:rsidRPr="005E11A2">
        <w:rPr>
          <w:rFonts w:ascii="Alexander" w:hAnsi="Alexander" w:cs="Arial"/>
        </w:rPr>
        <w:t xml:space="preserve"> </w:t>
      </w:r>
      <w:r w:rsidRPr="005E11A2">
        <w:rPr>
          <w:rFonts w:ascii="Alexander" w:hAnsi="Alexander" w:cs="Arial"/>
          <w:lang w:val="el-GR"/>
        </w:rPr>
        <w:t>εἰσόδους</w:t>
      </w:r>
      <w:r w:rsidRPr="005E11A2">
        <w:rPr>
          <w:rFonts w:ascii="Alexander" w:hAnsi="Alexander" w:cs="Arial"/>
        </w:rPr>
        <w:t>: Prolepsis = ein Satzglied des Relativsatzes ist vor ihn gezogen.</w:t>
      </w:r>
      <w:r>
        <w:rPr>
          <w:rFonts w:ascii="Alkaios" w:hAnsi="Alkaios" w:cs="Arial"/>
        </w:rPr>
        <w:t xml:space="preserve"> </w:t>
      </w:r>
    </w:p>
  </w:footnote>
  <w:footnote w:id="6">
    <w:p w14:paraId="2A8745AA" w14:textId="59EF0CAF" w:rsidR="006B38FA" w:rsidRPr="006B38FA" w:rsidRDefault="006B38FA" w:rsidP="006B38FA">
      <w:pPr>
        <w:pStyle w:val="Funotentext"/>
        <w:ind w:left="0" w:right="-284"/>
        <w:rPr>
          <w:rFonts w:ascii="Alexander" w:hAnsi="Alexander"/>
        </w:rPr>
      </w:pPr>
      <w:r>
        <w:rPr>
          <w:rStyle w:val="Funotenzeichen"/>
        </w:rPr>
        <w:footnoteRef/>
      </w:r>
      <w:r>
        <w:t xml:space="preserve"> </w:t>
      </w:r>
      <w:r w:rsidRPr="006B38FA">
        <w:rPr>
          <w:rFonts w:ascii="Alexander" w:hAnsi="Alexander" w:cs="Arial"/>
        </w:rPr>
        <w:t xml:space="preserve">Θεσμοφορίοις: </w:t>
      </w:r>
      <w:r w:rsidR="00B25621">
        <w:rPr>
          <w:rFonts w:ascii="Alexander" w:hAnsi="Alexander" w:cs="Arial"/>
        </w:rPr>
        <w:t xml:space="preserve">ein Fest </w:t>
      </w:r>
      <w:r w:rsidRPr="006B38FA">
        <w:rPr>
          <w:rFonts w:ascii="Alexander" w:hAnsi="Alexander" w:cs="Arial"/>
        </w:rPr>
        <w:t xml:space="preserve">nur </w:t>
      </w:r>
      <w:r w:rsidR="00B25621">
        <w:rPr>
          <w:rFonts w:ascii="Alexander" w:hAnsi="Alexander" w:cs="Arial"/>
        </w:rPr>
        <w:t xml:space="preserve">für </w:t>
      </w:r>
      <w:r w:rsidRPr="006B38FA">
        <w:rPr>
          <w:rFonts w:ascii="Alexander" w:hAnsi="Alexander" w:cs="Arial"/>
        </w:rPr>
        <w:t>Frauen; eine der seltenen Gelegenheiten</w:t>
      </w:r>
      <w:r w:rsidR="00B25621">
        <w:rPr>
          <w:rFonts w:ascii="Alexander" w:hAnsi="Alexander" w:cs="Arial"/>
        </w:rPr>
        <w:t xml:space="preserve"> für sie</w:t>
      </w:r>
      <w:r>
        <w:rPr>
          <w:rFonts w:ascii="Alexander" w:hAnsi="Alexander" w:cs="Arial"/>
        </w:rPr>
        <w:t>, das Haus allein zu verlassen</w:t>
      </w:r>
      <w:r w:rsidRPr="006B38FA">
        <w:rPr>
          <w:rFonts w:ascii="Alexander" w:hAnsi="Alexander" w:cs="Arial"/>
        </w:rPr>
        <w:t xml:space="preserve"> </w:t>
      </w:r>
    </w:p>
  </w:footnote>
  <w:footnote w:id="7">
    <w:p w14:paraId="5ABD461D" w14:textId="6318ADC0" w:rsidR="000D02B3" w:rsidRDefault="000D02B3" w:rsidP="000D02B3">
      <w:pPr>
        <w:pStyle w:val="Funotentext"/>
        <w:ind w:left="0"/>
      </w:pPr>
      <w:r>
        <w:rPr>
          <w:rStyle w:val="Funotenzeichen"/>
        </w:rPr>
        <w:footnoteRef/>
      </w:r>
      <w:r>
        <w:t xml:space="preserve"> </w:t>
      </w:r>
      <w:r w:rsidRPr="000D02B3">
        <w:rPr>
          <w:rFonts w:ascii="Alexander" w:hAnsi="Alexander" w:cs="Arial"/>
        </w:rPr>
        <w:t>αὐτῇ beim Perf.P. = Dat.auctoris</w:t>
      </w:r>
    </w:p>
  </w:footnote>
  <w:footnote w:id="8">
    <w:p w14:paraId="5D46C5D0" w14:textId="26DD9A5B" w:rsidR="007019BE" w:rsidRDefault="007019BE" w:rsidP="000D02B3">
      <w:pPr>
        <w:pStyle w:val="Funotentext"/>
        <w:ind w:left="142" w:hanging="494"/>
      </w:pPr>
      <w:r>
        <w:rPr>
          <w:rStyle w:val="Funotenzeichen"/>
        </w:rPr>
        <w:footnoteRef/>
      </w:r>
      <w:r>
        <w:t xml:space="preserve"> </w:t>
      </w:r>
      <w:r w:rsidRPr="000D02B3">
        <w:rPr>
          <w:rFonts w:ascii="Alexander" w:hAnsi="Alexander" w:cs="Arial"/>
        </w:rPr>
        <w:t>ὅπως</w:t>
      </w:r>
      <w:r w:rsidR="000D02B3" w:rsidRPr="000D02B3">
        <w:rPr>
          <w:rFonts w:ascii="Alexander" w:hAnsi="Alexander" w:cs="Arial"/>
        </w:rPr>
        <w:t xml:space="preserve"> „dass“ </w:t>
      </w:r>
      <w:r w:rsidR="000D02B3">
        <w:rPr>
          <w:rFonts w:ascii="Alexander" w:hAnsi="Alexander" w:cs="Arial"/>
        </w:rPr>
        <w:t>mit Ind.Fut.: abhängig von einem gedachten „Pass bloß auf, ...“ o.ä.</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07CAE"/>
    <w:multiLevelType w:val="hybridMultilevel"/>
    <w:tmpl w:val="64406506"/>
    <w:lvl w:ilvl="0" w:tplc="6C1E5C54">
      <w:start w:val="15"/>
      <w:numFmt w:val="decimal"/>
      <w:lvlText w:val="%1"/>
      <w:lvlJc w:val="left"/>
      <w:pPr>
        <w:ind w:left="1077" w:hanging="360"/>
      </w:pPr>
      <w:rPr>
        <w:rFonts w:hint="default"/>
        <w:sz w:val="16"/>
      </w:rPr>
    </w:lvl>
    <w:lvl w:ilvl="1" w:tplc="04070019" w:tentative="1">
      <w:start w:val="1"/>
      <w:numFmt w:val="lowerLetter"/>
      <w:lvlText w:val="%2."/>
      <w:lvlJc w:val="left"/>
      <w:pPr>
        <w:ind w:left="1797" w:hanging="360"/>
      </w:pPr>
    </w:lvl>
    <w:lvl w:ilvl="2" w:tplc="0407001B" w:tentative="1">
      <w:start w:val="1"/>
      <w:numFmt w:val="lowerRoman"/>
      <w:lvlText w:val="%3."/>
      <w:lvlJc w:val="right"/>
      <w:pPr>
        <w:ind w:left="2517" w:hanging="180"/>
      </w:pPr>
    </w:lvl>
    <w:lvl w:ilvl="3" w:tplc="0407000F" w:tentative="1">
      <w:start w:val="1"/>
      <w:numFmt w:val="decimal"/>
      <w:lvlText w:val="%4."/>
      <w:lvlJc w:val="left"/>
      <w:pPr>
        <w:ind w:left="3237" w:hanging="360"/>
      </w:pPr>
    </w:lvl>
    <w:lvl w:ilvl="4" w:tplc="04070019" w:tentative="1">
      <w:start w:val="1"/>
      <w:numFmt w:val="lowerLetter"/>
      <w:lvlText w:val="%5."/>
      <w:lvlJc w:val="left"/>
      <w:pPr>
        <w:ind w:left="3957" w:hanging="360"/>
      </w:pPr>
    </w:lvl>
    <w:lvl w:ilvl="5" w:tplc="0407001B" w:tentative="1">
      <w:start w:val="1"/>
      <w:numFmt w:val="lowerRoman"/>
      <w:lvlText w:val="%6."/>
      <w:lvlJc w:val="right"/>
      <w:pPr>
        <w:ind w:left="4677" w:hanging="180"/>
      </w:pPr>
    </w:lvl>
    <w:lvl w:ilvl="6" w:tplc="0407000F" w:tentative="1">
      <w:start w:val="1"/>
      <w:numFmt w:val="decimal"/>
      <w:lvlText w:val="%7."/>
      <w:lvlJc w:val="left"/>
      <w:pPr>
        <w:ind w:left="5397" w:hanging="360"/>
      </w:pPr>
    </w:lvl>
    <w:lvl w:ilvl="7" w:tplc="04070019" w:tentative="1">
      <w:start w:val="1"/>
      <w:numFmt w:val="lowerLetter"/>
      <w:lvlText w:val="%8."/>
      <w:lvlJc w:val="left"/>
      <w:pPr>
        <w:ind w:left="6117" w:hanging="360"/>
      </w:pPr>
    </w:lvl>
    <w:lvl w:ilvl="8" w:tplc="0407001B" w:tentative="1">
      <w:start w:val="1"/>
      <w:numFmt w:val="lowerRoman"/>
      <w:lvlText w:val="%9."/>
      <w:lvlJc w:val="right"/>
      <w:pPr>
        <w:ind w:left="6837" w:hanging="180"/>
      </w:pPr>
    </w:lvl>
  </w:abstractNum>
  <w:num w:numId="1" w16cid:durableId="1694572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FBA"/>
    <w:rsid w:val="000140D4"/>
    <w:rsid w:val="00022F0F"/>
    <w:rsid w:val="000242C2"/>
    <w:rsid w:val="00075A12"/>
    <w:rsid w:val="000B6162"/>
    <w:rsid w:val="000D0267"/>
    <w:rsid w:val="000D02B3"/>
    <w:rsid w:val="000D29D2"/>
    <w:rsid w:val="000E1586"/>
    <w:rsid w:val="000F1AEB"/>
    <w:rsid w:val="00100FBA"/>
    <w:rsid w:val="00124250"/>
    <w:rsid w:val="00145A89"/>
    <w:rsid w:val="00152AB7"/>
    <w:rsid w:val="00155B76"/>
    <w:rsid w:val="00197702"/>
    <w:rsid w:val="001A1F82"/>
    <w:rsid w:val="002037B3"/>
    <w:rsid w:val="00226384"/>
    <w:rsid w:val="002406D9"/>
    <w:rsid w:val="00243100"/>
    <w:rsid w:val="002547DA"/>
    <w:rsid w:val="00267027"/>
    <w:rsid w:val="00290857"/>
    <w:rsid w:val="002A3A8B"/>
    <w:rsid w:val="002B4083"/>
    <w:rsid w:val="002D2FE4"/>
    <w:rsid w:val="00311659"/>
    <w:rsid w:val="00324158"/>
    <w:rsid w:val="00340A56"/>
    <w:rsid w:val="00351721"/>
    <w:rsid w:val="00360179"/>
    <w:rsid w:val="00370B21"/>
    <w:rsid w:val="00375A72"/>
    <w:rsid w:val="00395EDA"/>
    <w:rsid w:val="00397540"/>
    <w:rsid w:val="003C0EB2"/>
    <w:rsid w:val="003D12F7"/>
    <w:rsid w:val="00410C44"/>
    <w:rsid w:val="00473CD3"/>
    <w:rsid w:val="0047426D"/>
    <w:rsid w:val="004A2142"/>
    <w:rsid w:val="004A427F"/>
    <w:rsid w:val="004A71EA"/>
    <w:rsid w:val="004B51E5"/>
    <w:rsid w:val="004E4293"/>
    <w:rsid w:val="00546921"/>
    <w:rsid w:val="005569CE"/>
    <w:rsid w:val="005756C4"/>
    <w:rsid w:val="005766C4"/>
    <w:rsid w:val="00592EEA"/>
    <w:rsid w:val="005C2FB6"/>
    <w:rsid w:val="005E11A2"/>
    <w:rsid w:val="005E40E8"/>
    <w:rsid w:val="00613F29"/>
    <w:rsid w:val="00641BA7"/>
    <w:rsid w:val="0069201F"/>
    <w:rsid w:val="006B38FA"/>
    <w:rsid w:val="006D3E29"/>
    <w:rsid w:val="006E0C57"/>
    <w:rsid w:val="006E3942"/>
    <w:rsid w:val="007019BE"/>
    <w:rsid w:val="00703480"/>
    <w:rsid w:val="007424E8"/>
    <w:rsid w:val="007479F4"/>
    <w:rsid w:val="00776335"/>
    <w:rsid w:val="007B3670"/>
    <w:rsid w:val="007B3DBA"/>
    <w:rsid w:val="007B6484"/>
    <w:rsid w:val="007D3734"/>
    <w:rsid w:val="007E0A3D"/>
    <w:rsid w:val="007F349A"/>
    <w:rsid w:val="007F6043"/>
    <w:rsid w:val="00820E2D"/>
    <w:rsid w:val="00824792"/>
    <w:rsid w:val="00830E7A"/>
    <w:rsid w:val="00833EB8"/>
    <w:rsid w:val="00835790"/>
    <w:rsid w:val="00840EFE"/>
    <w:rsid w:val="0084664F"/>
    <w:rsid w:val="00864CE2"/>
    <w:rsid w:val="008C7F14"/>
    <w:rsid w:val="008E362E"/>
    <w:rsid w:val="008F33A3"/>
    <w:rsid w:val="00923D39"/>
    <w:rsid w:val="009533FC"/>
    <w:rsid w:val="00975744"/>
    <w:rsid w:val="00981187"/>
    <w:rsid w:val="009948A3"/>
    <w:rsid w:val="00995298"/>
    <w:rsid w:val="009C5EE9"/>
    <w:rsid w:val="009D11B9"/>
    <w:rsid w:val="009D3EA5"/>
    <w:rsid w:val="00A11936"/>
    <w:rsid w:val="00A5503F"/>
    <w:rsid w:val="00A6489D"/>
    <w:rsid w:val="00A957C0"/>
    <w:rsid w:val="00AD6DB7"/>
    <w:rsid w:val="00AF314C"/>
    <w:rsid w:val="00B25621"/>
    <w:rsid w:val="00B2594C"/>
    <w:rsid w:val="00B423EA"/>
    <w:rsid w:val="00B7561E"/>
    <w:rsid w:val="00B92BE0"/>
    <w:rsid w:val="00BA43A4"/>
    <w:rsid w:val="00BB1C3A"/>
    <w:rsid w:val="00BB5AEE"/>
    <w:rsid w:val="00BD3530"/>
    <w:rsid w:val="00BD56F4"/>
    <w:rsid w:val="00CA3521"/>
    <w:rsid w:val="00CD6BE5"/>
    <w:rsid w:val="00CE5FB7"/>
    <w:rsid w:val="00CF77EC"/>
    <w:rsid w:val="00D41C90"/>
    <w:rsid w:val="00DA1D30"/>
    <w:rsid w:val="00DD4245"/>
    <w:rsid w:val="00E33F58"/>
    <w:rsid w:val="00E830ED"/>
    <w:rsid w:val="00E90C3B"/>
    <w:rsid w:val="00EA4273"/>
    <w:rsid w:val="00EB1A64"/>
    <w:rsid w:val="00EF7FE6"/>
    <w:rsid w:val="00F2064E"/>
    <w:rsid w:val="00F316C2"/>
    <w:rsid w:val="00F418D2"/>
    <w:rsid w:val="00F50E1D"/>
    <w:rsid w:val="00F63ACE"/>
    <w:rsid w:val="00FB49A9"/>
    <w:rsid w:val="00FC2435"/>
    <w:rsid w:val="00FE56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4F6AF"/>
  <w15:chartTrackingRefBased/>
  <w15:docId w15:val="{03A97809-E48E-4268-B2A4-AB2EE94F2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20" w:line="278" w:lineRule="auto"/>
        <w:ind w:left="7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A43A4"/>
  </w:style>
  <w:style w:type="paragraph" w:styleId="berschrift1">
    <w:name w:val="heading 1"/>
    <w:basedOn w:val="Standard"/>
    <w:next w:val="Standard"/>
    <w:link w:val="berschrift1Zchn"/>
    <w:uiPriority w:val="9"/>
    <w:qFormat/>
    <w:rsid w:val="00100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100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00FB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00FB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00FB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00FB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00FB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00FB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00FB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00FB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100FB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00FB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00FB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00FB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00FB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00FB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00FB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00FBA"/>
    <w:rPr>
      <w:rFonts w:eastAsiaTheme="majorEastAsia" w:cstheme="majorBidi"/>
      <w:color w:val="272727" w:themeColor="text1" w:themeTint="D8"/>
    </w:rPr>
  </w:style>
  <w:style w:type="paragraph" w:styleId="Titel">
    <w:name w:val="Title"/>
    <w:basedOn w:val="Standard"/>
    <w:next w:val="Standard"/>
    <w:link w:val="TitelZchn"/>
    <w:uiPriority w:val="10"/>
    <w:qFormat/>
    <w:rsid w:val="00100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00FB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00FBA"/>
    <w:pPr>
      <w:numPr>
        <w:ilvl w:val="1"/>
      </w:numPr>
      <w:spacing w:after="160"/>
      <w:ind w:left="714" w:hanging="357"/>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00FB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00FBA"/>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100FBA"/>
    <w:rPr>
      <w:i/>
      <w:iCs/>
      <w:color w:val="404040" w:themeColor="text1" w:themeTint="BF"/>
    </w:rPr>
  </w:style>
  <w:style w:type="paragraph" w:styleId="Listenabsatz">
    <w:name w:val="List Paragraph"/>
    <w:basedOn w:val="Standard"/>
    <w:uiPriority w:val="34"/>
    <w:qFormat/>
    <w:rsid w:val="00100FBA"/>
    <w:pPr>
      <w:ind w:left="720"/>
      <w:contextualSpacing/>
    </w:pPr>
  </w:style>
  <w:style w:type="character" w:styleId="IntensiveHervorhebung">
    <w:name w:val="Intense Emphasis"/>
    <w:basedOn w:val="Absatz-Standardschriftart"/>
    <w:uiPriority w:val="21"/>
    <w:qFormat/>
    <w:rsid w:val="00100FBA"/>
    <w:rPr>
      <w:i/>
      <w:iCs/>
      <w:color w:val="0F4761" w:themeColor="accent1" w:themeShade="BF"/>
    </w:rPr>
  </w:style>
  <w:style w:type="paragraph" w:styleId="IntensivesZitat">
    <w:name w:val="Intense Quote"/>
    <w:basedOn w:val="Standard"/>
    <w:next w:val="Standard"/>
    <w:link w:val="IntensivesZitatZchn"/>
    <w:uiPriority w:val="30"/>
    <w:qFormat/>
    <w:rsid w:val="00100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00FBA"/>
    <w:rPr>
      <w:i/>
      <w:iCs/>
      <w:color w:val="0F4761" w:themeColor="accent1" w:themeShade="BF"/>
    </w:rPr>
  </w:style>
  <w:style w:type="character" w:styleId="IntensiverVerweis">
    <w:name w:val="Intense Reference"/>
    <w:basedOn w:val="Absatz-Standardschriftart"/>
    <w:uiPriority w:val="32"/>
    <w:qFormat/>
    <w:rsid w:val="00100FBA"/>
    <w:rPr>
      <w:b/>
      <w:bCs/>
      <w:smallCaps/>
      <w:color w:val="0F4761" w:themeColor="accent1" w:themeShade="BF"/>
      <w:spacing w:val="5"/>
    </w:rPr>
  </w:style>
  <w:style w:type="paragraph" w:customStyle="1" w:styleId="msonormal0">
    <w:name w:val="msonormal"/>
    <w:basedOn w:val="Standard"/>
    <w:rsid w:val="00BD56F4"/>
    <w:pPr>
      <w:spacing w:before="100" w:beforeAutospacing="1" w:after="100" w:afterAutospacing="1" w:line="240" w:lineRule="auto"/>
      <w:ind w:left="0" w:firstLine="0"/>
    </w:pPr>
    <w:rPr>
      <w:rFonts w:ascii="Times New Roman" w:eastAsia="Times New Roman" w:hAnsi="Times New Roman" w:cs="Times New Roman"/>
      <w:kern w:val="0"/>
      <w:lang w:eastAsia="de-DE"/>
      <w14:ligatures w14:val="none"/>
    </w:rPr>
  </w:style>
  <w:style w:type="paragraph" w:styleId="StandardWeb">
    <w:name w:val="Normal (Web)"/>
    <w:basedOn w:val="Standard"/>
    <w:uiPriority w:val="99"/>
    <w:semiHidden/>
    <w:unhideWhenUsed/>
    <w:rsid w:val="00BD56F4"/>
    <w:pPr>
      <w:spacing w:before="100" w:beforeAutospacing="1" w:after="100" w:afterAutospacing="1" w:line="240" w:lineRule="auto"/>
      <w:ind w:left="0" w:firstLine="0"/>
    </w:pPr>
    <w:rPr>
      <w:rFonts w:ascii="Times New Roman" w:eastAsia="Times New Roman" w:hAnsi="Times New Roman" w:cs="Times New Roman"/>
      <w:kern w:val="0"/>
      <w:lang w:eastAsia="de-DE"/>
      <w14:ligatures w14:val="none"/>
    </w:rPr>
  </w:style>
  <w:style w:type="character" w:customStyle="1" w:styleId="w">
    <w:name w:val="w"/>
    <w:basedOn w:val="Absatz-Standardschriftart"/>
    <w:rsid w:val="00BD56F4"/>
  </w:style>
  <w:style w:type="character" w:customStyle="1" w:styleId="p">
    <w:name w:val="p"/>
    <w:basedOn w:val="Absatz-Standardschriftart"/>
    <w:rsid w:val="00BD56F4"/>
  </w:style>
  <w:style w:type="character" w:styleId="Hyperlink">
    <w:name w:val="Hyperlink"/>
    <w:basedOn w:val="Absatz-Standardschriftart"/>
    <w:uiPriority w:val="99"/>
    <w:unhideWhenUsed/>
    <w:rsid w:val="00BD56F4"/>
    <w:rPr>
      <w:color w:val="0000FF"/>
      <w:u w:val="single"/>
    </w:rPr>
  </w:style>
  <w:style w:type="character" w:styleId="BesuchterLink">
    <w:name w:val="FollowedHyperlink"/>
    <w:basedOn w:val="Absatz-Standardschriftart"/>
    <w:uiPriority w:val="99"/>
    <w:semiHidden/>
    <w:unhideWhenUsed/>
    <w:rsid w:val="00BD56F4"/>
    <w:rPr>
      <w:color w:val="800080"/>
      <w:u w:val="single"/>
    </w:rPr>
  </w:style>
  <w:style w:type="character" w:customStyle="1" w:styleId="gap">
    <w:name w:val="gap"/>
    <w:basedOn w:val="Absatz-Standardschriftart"/>
    <w:rsid w:val="00BD56F4"/>
  </w:style>
  <w:style w:type="paragraph" w:styleId="Funotentext">
    <w:name w:val="footnote text"/>
    <w:basedOn w:val="Standard"/>
    <w:link w:val="FunotentextZchn"/>
    <w:uiPriority w:val="99"/>
    <w:semiHidden/>
    <w:unhideWhenUsed/>
    <w:rsid w:val="00075A12"/>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075A12"/>
    <w:rPr>
      <w:sz w:val="20"/>
      <w:szCs w:val="20"/>
    </w:rPr>
  </w:style>
  <w:style w:type="character" w:styleId="Funotenzeichen">
    <w:name w:val="footnote reference"/>
    <w:basedOn w:val="Absatz-Standardschriftart"/>
    <w:uiPriority w:val="99"/>
    <w:semiHidden/>
    <w:unhideWhenUsed/>
    <w:rsid w:val="00075A12"/>
    <w:rPr>
      <w:vertAlign w:val="superscript"/>
    </w:rPr>
  </w:style>
  <w:style w:type="character" w:styleId="NichtaufgelsteErwhnung">
    <w:name w:val="Unresolved Mention"/>
    <w:basedOn w:val="Absatz-Standardschriftart"/>
    <w:uiPriority w:val="99"/>
    <w:semiHidden/>
    <w:unhideWhenUsed/>
    <w:rsid w:val="00923D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usokrates.de/einfuehrung/lysias/docx-format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B21EA-992E-45A6-8EA5-6B5980ED8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366</Words>
  <Characters>2311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Holtiegel</dc:creator>
  <cp:keywords/>
  <dc:description/>
  <cp:lastModifiedBy>Friedrich Holtiegel</cp:lastModifiedBy>
  <cp:revision>49</cp:revision>
  <dcterms:created xsi:type="dcterms:W3CDTF">2026-08-20T06:33:00Z</dcterms:created>
  <dcterms:modified xsi:type="dcterms:W3CDTF">2026-10-29T19:45:00Z</dcterms:modified>
</cp:coreProperties>
</file>