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901E2" w14:textId="1A48F53A" w:rsidR="00F601E1" w:rsidRPr="00F601E1" w:rsidRDefault="00F601E1" w:rsidP="000773F9">
      <w:pPr>
        <w:pStyle w:val="StandardWeb"/>
        <w:spacing w:before="0" w:beforeAutospacing="0" w:after="0" w:afterAutospacing="0"/>
        <w:contextualSpacing/>
        <w:jc w:val="center"/>
        <w:rPr>
          <w:rFonts w:ascii="Alkaios" w:hAnsi="Alkaios"/>
          <w:sz w:val="44"/>
          <w:szCs w:val="44"/>
        </w:rPr>
      </w:pPr>
      <w:r w:rsidRPr="00F601E1">
        <w:rPr>
          <w:rFonts w:ascii="Alkaios" w:hAnsi="Alkaios"/>
          <w:sz w:val="44"/>
          <w:szCs w:val="44"/>
        </w:rPr>
        <w:t>PlatApol.35e-3</w:t>
      </w:r>
      <w:r w:rsidR="008E13F3">
        <w:rPr>
          <w:rFonts w:ascii="Alkaios" w:hAnsi="Alkaios"/>
          <w:sz w:val="44"/>
          <w:szCs w:val="44"/>
        </w:rPr>
        <w:t>7b</w:t>
      </w:r>
      <w:r w:rsidRPr="00F601E1">
        <w:rPr>
          <w:rFonts w:ascii="Alkaios" w:hAnsi="Alkaios"/>
          <w:sz w:val="44"/>
          <w:szCs w:val="44"/>
        </w:rPr>
        <w:t xml:space="preserve"> 2. Rede</w:t>
      </w:r>
      <w:r w:rsidR="000773F9">
        <w:rPr>
          <w:rFonts w:ascii="Alkaios" w:hAnsi="Alkaios"/>
          <w:sz w:val="44"/>
          <w:szCs w:val="44"/>
        </w:rPr>
        <w:t xml:space="preserve"> </w:t>
      </w:r>
      <w:r w:rsidR="000773F9" w:rsidRPr="008E13F3">
        <w:rPr>
          <w:rFonts w:ascii="Alkaios" w:hAnsi="Alkaios"/>
          <w:sz w:val="32"/>
          <w:szCs w:val="32"/>
        </w:rPr>
        <w:t>I</w:t>
      </w:r>
    </w:p>
    <w:p w14:paraId="46FC4B8A" w14:textId="77777777" w:rsidR="00A47C34" w:rsidRDefault="00F601E1" w:rsidP="00A47C34">
      <w:pPr>
        <w:pStyle w:val="StandardWeb"/>
        <w:spacing w:before="0" w:beforeAutospacing="0" w:after="120" w:afterAutospacing="0"/>
        <w:rPr>
          <w:rFonts w:ascii="Alkaios" w:hAnsi="Alkaios"/>
        </w:rPr>
      </w:pPr>
      <w:hyperlink r:id="rId7" w:anchor="p.35e" w:history="1">
        <w:r w:rsidRPr="0081192D">
          <w:rPr>
            <w:rStyle w:val="Hyperlink"/>
            <w:rFonts w:ascii="Alkaios" w:eastAsiaTheme="majorEastAsia" w:hAnsi="Alkaios"/>
          </w:rPr>
          <w:t>e</w:t>
        </w:r>
      </w:hyperlink>
      <w:r w:rsidRPr="0081192D">
        <w:rPr>
          <w:rFonts w:ascii="Alkaios" w:hAnsi="Alkaios"/>
        </w:rPr>
        <w:t>  Τὸ μὲν μὴ ἀγανακτεῖν</w:t>
      </w:r>
      <w:r w:rsidR="00CC27D8" w:rsidRPr="0081192D">
        <w:rPr>
          <w:rStyle w:val="Funotenzeichen"/>
          <w:rFonts w:ascii="Alkaios" w:hAnsi="Alkaios"/>
        </w:rPr>
        <w:footnoteReference w:id="1"/>
      </w:r>
      <w:r w:rsidRPr="0081192D">
        <w:rPr>
          <w:rFonts w:ascii="Alkaios" w:hAnsi="Alkaios"/>
        </w:rPr>
        <w:t xml:space="preserve">, ὦ ἄνδρες Ἀθηναῖοι, ἐπὶ τούτῳ </w:t>
      </w:r>
      <w:hyperlink r:id="rId8" w:anchor="p.36a" w:history="1">
        <w:r w:rsidRPr="0081192D">
          <w:rPr>
            <w:rStyle w:val="Hyperlink"/>
            <w:rFonts w:ascii="Alkaios" w:eastAsiaTheme="majorEastAsia" w:hAnsi="Alkaios"/>
          </w:rPr>
          <w:t>36</w:t>
        </w:r>
      </w:hyperlink>
      <w:r w:rsidRPr="0081192D">
        <w:rPr>
          <w:rFonts w:ascii="Alkaios" w:hAnsi="Alkaios"/>
        </w:rPr>
        <w:t>  τῷ γεγονότι, ὅτι μου κατεψηφίσασθε, ἄλλα τέ</w:t>
      </w:r>
      <w:r w:rsidR="00E92CC1" w:rsidRPr="0081192D">
        <w:rPr>
          <w:rStyle w:val="Funotenzeichen"/>
          <w:rFonts w:ascii="Alkaios" w:hAnsi="Alkaios"/>
        </w:rPr>
        <w:footnoteReference w:id="2"/>
      </w:r>
      <w:r w:rsidRPr="0081192D">
        <w:rPr>
          <w:rFonts w:ascii="Alkaios" w:hAnsi="Alkaios"/>
        </w:rPr>
        <w:t xml:space="preserve"> μοι πολλὰ συμβάλλεται</w:t>
      </w:r>
      <w:r w:rsidR="00CC27D8" w:rsidRPr="0081192D">
        <w:rPr>
          <w:rStyle w:val="Funotenzeichen"/>
          <w:rFonts w:ascii="Alkaios" w:hAnsi="Alkaios"/>
        </w:rPr>
        <w:footnoteReference w:id="3"/>
      </w:r>
      <w:r w:rsidR="00E92CC1" w:rsidRPr="0081192D">
        <w:rPr>
          <w:rFonts w:ascii="Alkaios" w:hAnsi="Alkaios"/>
        </w:rPr>
        <w:t>,</w:t>
      </w:r>
      <w:r w:rsidRPr="0081192D">
        <w:rPr>
          <w:rFonts w:ascii="Alkaios" w:hAnsi="Alkaios"/>
        </w:rPr>
        <w:t xml:space="preserve"> καὶ οὐκ ἀνέλπιστόν μοι γέγονεν τὸ γεγονὸς τοῦτο, ἀλλὰ πολὺ μᾶλλον θαυμάζω ἑκατέρων τῶν ψήφων τὸν γεγονότα ἀριθμόν. οὐ γὰρ ᾠόμην ἔγωγε οὕτω παρ᾽ ὀλίγον ἔσεσθαι ἀλλὰ παρὰ πολύ· νῦν δέ, ὡς ἔοικεν, εἰ τριάκοντα μόναι μετέπεσον τῶν ψήφων, ἀπεπεφεύγη ἄν. Μέλητον μὲν οὖν, ὡς ἐμοὶ δοκῶ, καὶ νῦν ἀποπέφευγα, καὶ οὐ μόνον ἀποπέφευγα, ἀλλὰ παντὶ δῆλον τοῦτό γε, ὅτι εἰ μὴ ἀνέβη Ἄνυτος καὶ Λύκων κατηγορήσοντες ἐμοῦ, κἂν ὦφλε </w:t>
      </w:r>
      <w:hyperlink r:id="rId9" w:anchor="p.36b" w:history="1">
        <w:r w:rsidRPr="0081192D">
          <w:rPr>
            <w:rStyle w:val="Hyperlink"/>
            <w:rFonts w:ascii="Alkaios" w:eastAsiaTheme="majorEastAsia" w:hAnsi="Alkaios"/>
          </w:rPr>
          <w:t>b</w:t>
        </w:r>
      </w:hyperlink>
      <w:r w:rsidRPr="0081192D">
        <w:rPr>
          <w:rFonts w:ascii="Alkaios" w:hAnsi="Alkaios"/>
        </w:rPr>
        <w:t>  χιλίας δραχμάς, οὐ μεταλαβὼν τὸ πέμπτον μέρος τῶν ψήφων</w:t>
      </w:r>
      <w:r w:rsidR="00896490" w:rsidRPr="0081192D">
        <w:rPr>
          <w:rStyle w:val="Funotenzeichen"/>
          <w:rFonts w:ascii="Alkaios" w:hAnsi="Alkaios"/>
        </w:rPr>
        <w:footnoteReference w:id="4"/>
      </w:r>
      <w:r w:rsidRPr="0081192D">
        <w:rPr>
          <w:rFonts w:ascii="Alkaios" w:hAnsi="Alkaios"/>
        </w:rPr>
        <w:t xml:space="preserve">. </w:t>
      </w:r>
    </w:p>
    <w:p w14:paraId="30E0C46C" w14:textId="08733671" w:rsidR="00F601E1" w:rsidRPr="0081192D" w:rsidRDefault="00F601E1" w:rsidP="00A47C34">
      <w:pPr>
        <w:pStyle w:val="StandardWeb"/>
        <w:spacing w:before="0" w:beforeAutospacing="0" w:after="120" w:afterAutospacing="0"/>
        <w:rPr>
          <w:rFonts w:ascii="Alkaios" w:hAnsi="Alkaios"/>
        </w:rPr>
      </w:pPr>
      <w:r w:rsidRPr="0081192D">
        <w:rPr>
          <w:rFonts w:ascii="Alkaios" w:hAnsi="Alkaios"/>
        </w:rPr>
        <w:t>Τιμᾶται δ᾽ οὖν μοι ὁ ἀνὴρ θανάτου. εἶεν· ἐγὼ δὲ δὴ τίνος ὑμῖν ἀντιτιμήσομαι, ὦ ἄνδρες Ἀθηναῖοι; ἢ δῆλον ὅτι τῆς ἀξίας</w:t>
      </w:r>
      <w:r w:rsidR="002A60BC" w:rsidRPr="0081192D">
        <w:rPr>
          <w:rStyle w:val="Funotenzeichen"/>
          <w:rFonts w:ascii="Alkaios" w:hAnsi="Alkaios"/>
        </w:rPr>
        <w:footnoteReference w:id="5"/>
      </w:r>
      <w:r w:rsidRPr="0081192D">
        <w:rPr>
          <w:rFonts w:ascii="Alkaios" w:hAnsi="Alkaios"/>
        </w:rPr>
        <w:t xml:space="preserve">; τί οὖν; τί ἄξιός εἰμι παθεῖν ἢ ἀποτεῖσαι, ὅτι μαθὼν ἐν τῷ βίῳ οὐχ ἡσυχίαν ἦγον, ἀλλ᾽ ἀμελήσας ὧνπερ οἱ πολλοί, χρηματισμοῦ τε καὶ οἰκονομίας καὶ στρατηγιῶν καὶ δημηγοριῶν καὶ τῶν ἄλλων ἀρχῶν καὶ </w:t>
      </w:r>
      <w:r w:rsidRPr="00CC74D3">
        <w:rPr>
          <w:rFonts w:ascii="Alkaios" w:hAnsi="Alkaios"/>
        </w:rPr>
        <w:t>συνωμοσιῶν</w:t>
      </w:r>
      <w:r w:rsidRPr="0081192D">
        <w:rPr>
          <w:rFonts w:ascii="Alkaios" w:hAnsi="Alkaios"/>
        </w:rPr>
        <w:t xml:space="preserve"> καὶ στάσεων τῶν ἐν τῇ πόλει γιγνομένων, ἡγησάμενος ἐμαυτὸν </w:t>
      </w:r>
      <w:hyperlink r:id="rId10" w:anchor="p.36c" w:history="1">
        <w:r w:rsidRPr="0081192D">
          <w:rPr>
            <w:rStyle w:val="Hyperlink"/>
            <w:rFonts w:ascii="Alkaios" w:eastAsiaTheme="majorEastAsia" w:hAnsi="Alkaios"/>
          </w:rPr>
          <w:t>c</w:t>
        </w:r>
      </w:hyperlink>
      <w:r w:rsidRPr="0081192D">
        <w:rPr>
          <w:rFonts w:ascii="Alkaios" w:hAnsi="Alkaios"/>
        </w:rPr>
        <w:t>  τῷ ὄντι ἐπιεικέστερον εἶναι ἢ ὥστε εἰς ταῦτ᾽ ἰόντα σῴζεσθαι, ἐνταῦθα μὲν οὐκ ᾖα οἷ ἐλθὼν μήτε ὑμῖν μήτε ἐμαυτῷ ἔμελλον μηδὲν ὄφελος εἶναι, ἐπὶ δὲ</w:t>
      </w:r>
      <w:r w:rsidR="00A04EB0">
        <w:rPr>
          <w:rStyle w:val="Funotenzeichen"/>
          <w:rFonts w:ascii="Alkaios" w:hAnsi="Alkaios"/>
        </w:rPr>
        <w:footnoteReference w:id="6"/>
      </w:r>
      <w:r w:rsidRPr="0081192D">
        <w:rPr>
          <w:rFonts w:ascii="Alkaios" w:hAnsi="Alkaios"/>
        </w:rPr>
        <w:t xml:space="preserve"> τὸ ἰδίᾳ ἕκαστον ἰὼν εὐεργετεῖν τὴν μεγίστην εὐεργεσίαν, ὡς ἐγώ φημι, ἐνταῦθα ᾖα, ἐπιχειρῶν ἕκαστον ὑμῶν πείθειν</w:t>
      </w:r>
      <w:r w:rsidR="006F5A06">
        <w:rPr>
          <w:rStyle w:val="Funotenzeichen"/>
          <w:rFonts w:ascii="Alkaios" w:hAnsi="Alkaios"/>
        </w:rPr>
        <w:footnoteReference w:id="7"/>
      </w:r>
      <w:r w:rsidRPr="0081192D">
        <w:rPr>
          <w:rFonts w:ascii="Alkaios" w:hAnsi="Alkaios"/>
        </w:rPr>
        <w:t xml:space="preserve"> μὴ πρότερον μήτε</w:t>
      </w:r>
      <w:r w:rsidR="00A04EB0">
        <w:rPr>
          <w:rStyle w:val="Funotenzeichen"/>
          <w:rFonts w:ascii="Alkaios" w:hAnsi="Alkaios"/>
        </w:rPr>
        <w:footnoteReference w:id="8"/>
      </w:r>
      <w:r w:rsidRPr="0081192D">
        <w:rPr>
          <w:rFonts w:ascii="Alkaios" w:hAnsi="Alkaios"/>
        </w:rPr>
        <w:t xml:space="preserve"> τῶν ἑαυτοῦ μηδενὸς ἐπιμελεῖσθαι πρὶν ἑαυτοῦ ἐπιμεληθείη ὅπως ὡς βέλτιστος καὶ φρονιμώτατος ἔσοιτο, μήτε τῶν τῆς πόλεως, πρὶν αὐτῆς τῆς πόλεως, τῶν τε ἄλλων οὕτω κατὰ τὸν </w:t>
      </w:r>
      <w:hyperlink r:id="rId11" w:anchor="p.36d" w:history="1">
        <w:r w:rsidRPr="0081192D">
          <w:rPr>
            <w:rStyle w:val="Hyperlink"/>
            <w:rFonts w:ascii="Alkaios" w:eastAsiaTheme="majorEastAsia" w:hAnsi="Alkaios"/>
          </w:rPr>
          <w:t>d</w:t>
        </w:r>
      </w:hyperlink>
      <w:r w:rsidRPr="0081192D">
        <w:rPr>
          <w:rFonts w:ascii="Alkaios" w:hAnsi="Alkaios"/>
        </w:rPr>
        <w:t>  αὐτὸν τρόπον ἐπιμελεῖσθαι—τί οὖν εἰμι ἄξιος παθεῖν τοιοῦτος ὤν; ἀγαθόν τι, ὦ ἄνδρες Ἀθηναῖοι, εἰ δεῖ γε κατὰ τὴν ἀξίαν τῇ ἀληθείᾳ τιμᾶσθαι· καὶ ταῦτά γε</w:t>
      </w:r>
      <w:r w:rsidR="00383F44">
        <w:rPr>
          <w:rStyle w:val="Funotenzeichen"/>
          <w:rFonts w:ascii="Alkaios" w:hAnsi="Alkaios"/>
        </w:rPr>
        <w:footnoteReference w:id="9"/>
      </w:r>
      <w:r w:rsidRPr="0081192D">
        <w:rPr>
          <w:rFonts w:ascii="Alkaios" w:hAnsi="Alkaios"/>
        </w:rPr>
        <w:t xml:space="preserve"> ἀγαθὸν τοιοῦτον ὅτι ἂν πρέποι ἐμοί. τί οὖν πρέπει ἀνδρὶ πένητι εὐεργέτῃ δεομένῳ ἄγειν σχολὴν ἐπὶ τῇ ὑμετέρᾳ </w:t>
      </w:r>
      <w:r w:rsidRPr="00851A01">
        <w:rPr>
          <w:rFonts w:ascii="Alkaios" w:hAnsi="Alkaios"/>
        </w:rPr>
        <w:t>παρακελεύσει</w:t>
      </w:r>
      <w:r w:rsidRPr="0081192D">
        <w:rPr>
          <w:rFonts w:ascii="Alkaios" w:hAnsi="Alkaios"/>
        </w:rPr>
        <w:t xml:space="preserve">; οὐκ ἔσθ᾽ ὅτι μᾶλλον, ὦ ἄνδρες Ἀθηναῖοι, πρέπει οὕτως ὡς τὸν τοιοῦτον ἄνδρα ἐν πρυτανείῳ </w:t>
      </w:r>
      <w:r w:rsidRPr="0005540D">
        <w:rPr>
          <w:rFonts w:ascii="Alkaios" w:hAnsi="Alkaios"/>
        </w:rPr>
        <w:t>σιτεῖσθαι</w:t>
      </w:r>
      <w:r w:rsidRPr="0081192D">
        <w:rPr>
          <w:rFonts w:ascii="Alkaios" w:hAnsi="Alkaios"/>
        </w:rPr>
        <w:t xml:space="preserve">, πολύ γε μᾶλλον ἢ εἴ τις ὑμῶν ἵππῳ ἢ συνωρίδι ἢ ζεύγει νενίκηκεν Ὀλυμπίασιν· ὁ μὲν γὰρ ὑμᾶς ποιεῖ εὐδαίμονας δοκεῖν εἶναι, ἐγὼ δὲ </w:t>
      </w:r>
      <w:hyperlink r:id="rId12" w:anchor="p.36e" w:history="1">
        <w:r w:rsidRPr="0081192D">
          <w:rPr>
            <w:rStyle w:val="Hyperlink"/>
            <w:rFonts w:ascii="Alkaios" w:eastAsiaTheme="majorEastAsia" w:hAnsi="Alkaios"/>
          </w:rPr>
          <w:t>e</w:t>
        </w:r>
      </w:hyperlink>
      <w:r w:rsidRPr="0081192D">
        <w:rPr>
          <w:rFonts w:ascii="Alkaios" w:hAnsi="Alkaios"/>
        </w:rPr>
        <w:t xml:space="preserve">  εἶναι, καὶ ὁ μὲν τροφῆς οὐδὲν δεῖται, ἐγὼ δὲ δέομαι. εἰ οὖν δεῖ με κατὰ τὸ δίκαιον τῆς ἀξίας τιμᾶσθαι, τούτου </w:t>
      </w:r>
      <w:hyperlink r:id="rId13" w:anchor="p.37a" w:history="1">
        <w:r w:rsidRPr="0081192D">
          <w:rPr>
            <w:rStyle w:val="Hyperlink"/>
            <w:rFonts w:ascii="Alkaios" w:eastAsiaTheme="majorEastAsia" w:hAnsi="Alkaios"/>
          </w:rPr>
          <w:t>37</w:t>
        </w:r>
      </w:hyperlink>
      <w:r w:rsidRPr="0081192D">
        <w:rPr>
          <w:rFonts w:ascii="Alkaios" w:hAnsi="Alkaios"/>
        </w:rPr>
        <w:t xml:space="preserve">  τιμῶμαι, ἐν πρυτανείῳ σιτήσεως. </w:t>
      </w:r>
    </w:p>
    <w:p w14:paraId="11EF7121" w14:textId="77777777" w:rsidR="00A47C34" w:rsidRDefault="00F601E1" w:rsidP="00A47C34">
      <w:pPr>
        <w:pStyle w:val="StandardWeb"/>
        <w:spacing w:before="0" w:beforeAutospacing="0" w:after="120" w:afterAutospacing="0"/>
        <w:rPr>
          <w:rFonts w:ascii="Alkaios" w:hAnsi="Alkaios"/>
        </w:rPr>
      </w:pPr>
      <w:r w:rsidRPr="0081192D">
        <w:rPr>
          <w:rFonts w:ascii="Alkaios" w:hAnsi="Alkaios"/>
        </w:rPr>
        <w:t xml:space="preserve">Ἴσως οὖν ὑμῖν καὶ ταυτὶ λέγων παραπλησίως δοκῶ λέγειν ὥσπερ περὶ τοῦ οἴκτου καὶ τῆς ἀντιβολήσεως, </w:t>
      </w:r>
      <w:r w:rsidRPr="00A47C34">
        <w:rPr>
          <w:rFonts w:ascii="Alkaios" w:hAnsi="Alkaios"/>
        </w:rPr>
        <w:t>ἀπαυθαδιζόμενος</w:t>
      </w:r>
      <w:r w:rsidRPr="0081192D">
        <w:rPr>
          <w:rFonts w:ascii="Alkaios" w:hAnsi="Alkaios"/>
        </w:rPr>
        <w:t>· τὸ δὲ οὐκ ἔστιν, ὦ ἄνδρες Ἀθηναῖοι, τοιοῦτον ἀλλὰ τοιόνδε μᾶλλον. πέπεισμαι ἐγὼ ἑκὼν εἶναι μηδένα ἀδικεῖν ἀνθρώπων, ἀλλὰ ὑμᾶς τοῦτο οὐ πείθω· ὀλίγον γὰρ χρόνον ἀλλήλοις διειλέγμεθα. ἐπεί, ὡς ἐγᾦμαι</w:t>
      </w:r>
      <w:r w:rsidR="00460403">
        <w:rPr>
          <w:rStyle w:val="Funotenzeichen"/>
          <w:rFonts w:ascii="Alkaios" w:hAnsi="Alkaios"/>
        </w:rPr>
        <w:footnoteReference w:id="10"/>
      </w:r>
      <w:r w:rsidRPr="0081192D">
        <w:rPr>
          <w:rFonts w:ascii="Alkaios" w:hAnsi="Alkaios"/>
        </w:rPr>
        <w:t xml:space="preserve">, εἰ ἦν ὑμῖν νόμος, ὥσπερ καὶ ἄλλοις ἀνθρώποις, περὶ θανάτου μὴ μίαν ἡμέραν </w:t>
      </w:r>
      <w:hyperlink r:id="rId14" w:anchor="p.37b" w:history="1">
        <w:r w:rsidRPr="0081192D">
          <w:rPr>
            <w:rStyle w:val="Hyperlink"/>
            <w:rFonts w:ascii="Alkaios" w:eastAsiaTheme="majorEastAsia" w:hAnsi="Alkaios"/>
          </w:rPr>
          <w:t>b</w:t>
        </w:r>
      </w:hyperlink>
      <w:r w:rsidRPr="0081192D">
        <w:rPr>
          <w:rFonts w:ascii="Alkaios" w:hAnsi="Alkaios"/>
        </w:rPr>
        <w:t xml:space="preserve">  μόνον κρίνειν ἀλλὰ πολλάς, ἐπείσθητε ἄν· νῦν δ᾽ οὐ ῥᾴδιον ἐν χρόνῳ ὀλίγῳ μεγάλας διαβολὰς ἀπολύεσθαι. </w:t>
      </w:r>
    </w:p>
    <w:p w14:paraId="679AE1CE" w14:textId="51969BD7" w:rsidR="000773F9" w:rsidRPr="00F601E1" w:rsidRDefault="000773F9" w:rsidP="000773F9">
      <w:pPr>
        <w:pStyle w:val="StandardWeb"/>
        <w:spacing w:before="0" w:beforeAutospacing="0" w:after="0" w:afterAutospacing="0"/>
        <w:contextualSpacing/>
        <w:jc w:val="center"/>
        <w:rPr>
          <w:rFonts w:ascii="Alkaios" w:hAnsi="Alkaios"/>
          <w:sz w:val="44"/>
          <w:szCs w:val="44"/>
        </w:rPr>
      </w:pPr>
      <w:r w:rsidRPr="00F601E1">
        <w:rPr>
          <w:rFonts w:ascii="Alkaios" w:hAnsi="Alkaios"/>
          <w:sz w:val="44"/>
          <w:szCs w:val="44"/>
        </w:rPr>
        <w:lastRenderedPageBreak/>
        <w:t>PlatApol.3</w:t>
      </w:r>
      <w:r w:rsidR="008E13F3">
        <w:rPr>
          <w:rFonts w:ascii="Alkaios" w:hAnsi="Alkaios"/>
          <w:sz w:val="44"/>
          <w:szCs w:val="44"/>
        </w:rPr>
        <w:t>7b</w:t>
      </w:r>
      <w:r w:rsidRPr="00F601E1">
        <w:rPr>
          <w:rFonts w:ascii="Alkaios" w:hAnsi="Alkaios"/>
          <w:sz w:val="44"/>
          <w:szCs w:val="44"/>
        </w:rPr>
        <w:t>-3</w:t>
      </w:r>
      <w:r w:rsidR="00BD457E">
        <w:rPr>
          <w:rFonts w:ascii="Alkaios" w:hAnsi="Alkaios"/>
          <w:sz w:val="44"/>
          <w:szCs w:val="44"/>
        </w:rPr>
        <w:t>8b</w:t>
      </w:r>
      <w:r w:rsidRPr="00F601E1">
        <w:rPr>
          <w:rFonts w:ascii="Alkaios" w:hAnsi="Alkaios"/>
          <w:sz w:val="44"/>
          <w:szCs w:val="44"/>
        </w:rPr>
        <w:t xml:space="preserve"> 2. Rede</w:t>
      </w:r>
      <w:r>
        <w:rPr>
          <w:rFonts w:ascii="Alkaios" w:hAnsi="Alkaios"/>
          <w:sz w:val="44"/>
          <w:szCs w:val="44"/>
        </w:rPr>
        <w:t xml:space="preserve"> </w:t>
      </w:r>
      <w:r w:rsidRPr="008E13F3">
        <w:rPr>
          <w:rFonts w:ascii="Alkaios" w:hAnsi="Alkaios"/>
          <w:sz w:val="32"/>
          <w:szCs w:val="32"/>
        </w:rPr>
        <w:t>II</w:t>
      </w:r>
    </w:p>
    <w:p w14:paraId="39DC2E8A" w14:textId="78295235" w:rsidR="00F601E1" w:rsidRPr="0081192D" w:rsidRDefault="00F601E1" w:rsidP="00A47C34">
      <w:pPr>
        <w:pStyle w:val="StandardWeb"/>
        <w:spacing w:before="0" w:beforeAutospacing="0" w:after="120" w:afterAutospacing="0"/>
        <w:rPr>
          <w:rFonts w:ascii="Alkaios" w:hAnsi="Alkaios"/>
        </w:rPr>
      </w:pPr>
      <w:r w:rsidRPr="0081192D">
        <w:rPr>
          <w:rFonts w:ascii="Alkaios" w:hAnsi="Alkaios"/>
        </w:rPr>
        <w:t>πεπεισμένος δὴ ἐγὼ μηδένα ἀδικεῖν πολλοῦ δέω ἐμαυτόν γε ἀδικήσειν καὶ κατ᾽ ἐμαυτοῦ ἐρεῖν αὐτὸς ὡς ἄξιός εἰμί του κακοῦ καὶ τιμήσεσθαι</w:t>
      </w:r>
      <w:r w:rsidR="000773F9">
        <w:rPr>
          <w:rStyle w:val="Funotenzeichen"/>
          <w:rFonts w:ascii="Alkaios" w:hAnsi="Alkaios"/>
        </w:rPr>
        <w:footnoteReference w:id="11"/>
      </w:r>
      <w:r w:rsidRPr="0081192D">
        <w:rPr>
          <w:rFonts w:ascii="Alkaios" w:hAnsi="Alkaios"/>
        </w:rPr>
        <w:t xml:space="preserve"> τοιούτου τινὸς ἐμαυτῷ. τί δείσας; ἦ μὴ πάθω τοῦτο οὗ Μέλητός μοι τιμᾶται, ὅ φημι οὐκ εἰδέναι οὔτ᾽ εἰ ἀγαθὸν οὔτ᾽ εἰ κακόν ἐστιν; ἀντὶ τούτου δὴ ἕλωμαι</w:t>
      </w:r>
      <w:r w:rsidR="00E6202E">
        <w:rPr>
          <w:rStyle w:val="Funotenzeichen"/>
          <w:rFonts w:ascii="Alkaios" w:hAnsi="Alkaios"/>
        </w:rPr>
        <w:footnoteReference w:id="12"/>
      </w:r>
      <w:r w:rsidRPr="0081192D">
        <w:rPr>
          <w:rFonts w:ascii="Alkaios" w:hAnsi="Alkaios"/>
        </w:rPr>
        <w:t xml:space="preserve"> ὧν εὖ οἶδά τι κακῶν ὄντων τούτου τιμησάμενος; πότερον δεσμοῦ</w:t>
      </w:r>
      <w:r w:rsidR="00563385">
        <w:rPr>
          <w:rStyle w:val="Funotenzeichen"/>
          <w:rFonts w:ascii="Alkaios" w:hAnsi="Alkaios"/>
        </w:rPr>
        <w:footnoteReference w:id="13"/>
      </w:r>
      <w:r w:rsidRPr="0081192D">
        <w:rPr>
          <w:rFonts w:ascii="Alkaios" w:hAnsi="Alkaios"/>
        </w:rPr>
        <w:t xml:space="preserve">; </w:t>
      </w:r>
      <w:hyperlink r:id="rId15" w:anchor="p.37c" w:history="1">
        <w:r w:rsidRPr="0081192D">
          <w:rPr>
            <w:rStyle w:val="Hyperlink"/>
            <w:rFonts w:ascii="Alkaios" w:eastAsiaTheme="majorEastAsia" w:hAnsi="Alkaios"/>
          </w:rPr>
          <w:t>c</w:t>
        </w:r>
      </w:hyperlink>
      <w:r w:rsidRPr="0081192D">
        <w:rPr>
          <w:rFonts w:ascii="Alkaios" w:hAnsi="Alkaios"/>
        </w:rPr>
        <w:t>  καὶ τί με δεῖ ζῆν ἐν δεσμωτηρίῳ, δουλεύοντα τῇ ἀεὶ καθισταμένῃ ἀρχῇ, τοῖς ἕνδεκα; ἀλλὰ χρημάτων</w:t>
      </w:r>
      <w:r w:rsidR="00563385">
        <w:rPr>
          <w:rStyle w:val="Funotenzeichen"/>
          <w:rFonts w:ascii="Alkaios" w:hAnsi="Alkaios"/>
        </w:rPr>
        <w:footnoteReference w:id="14"/>
      </w:r>
      <w:r w:rsidRPr="0081192D">
        <w:rPr>
          <w:rFonts w:ascii="Alkaios" w:hAnsi="Alkaios"/>
        </w:rPr>
        <w:t xml:space="preserve"> καὶ δεδέσθαι ἕως ἂν ἐκτείσω; ἀλλὰ ταὐτόν μοί ἐστιν ὅπερ νυνδὴ ἔλεγον· οὐ γὰρ ἔστι μοι χρήματα ὁπόθεν </w:t>
      </w:r>
      <w:r w:rsidRPr="009F276C">
        <w:rPr>
          <w:rFonts w:ascii="Alkaios" w:hAnsi="Alkaios"/>
        </w:rPr>
        <w:t>ἐκτείσω</w:t>
      </w:r>
      <w:r w:rsidRPr="0081192D">
        <w:rPr>
          <w:rFonts w:ascii="Alkaios" w:hAnsi="Alkaios"/>
        </w:rPr>
        <w:t xml:space="preserve">. ἀλλὰ δὴ φυγῆς τιμήσωμαι; ἴσως γὰρ ἄν μοι τούτου τιμήσαιτε. πολλὴ μεντἄν με φιλοψυχία ἔχοι, ὦ ἄνδρες Ἀθηναῖοι, εἰ οὕτως ἀλόγιστός εἰμι ὥστε μὴ δύνασθαι λογίζεσθαι ὅτι ὑμεῖς μὲν ὄντες πολῖταί μου οὐχ οἷοί τε ἐγένεσθε ἐνεγκεῖν τὰς ἐμὰς </w:t>
      </w:r>
      <w:hyperlink r:id="rId16" w:anchor="p.37d" w:history="1">
        <w:r w:rsidRPr="0081192D">
          <w:rPr>
            <w:rStyle w:val="Hyperlink"/>
            <w:rFonts w:ascii="Alkaios" w:eastAsiaTheme="majorEastAsia" w:hAnsi="Alkaios"/>
          </w:rPr>
          <w:t>d</w:t>
        </w:r>
      </w:hyperlink>
      <w:r w:rsidRPr="0081192D">
        <w:rPr>
          <w:rFonts w:ascii="Alkaios" w:hAnsi="Alkaios"/>
        </w:rPr>
        <w:t>  διατριβὰς καὶ τοὺς λόγους, ἀλλ᾽ ὑμῖν βαρύτεραι γεγόνασιν καὶ ἐπιφθονώτεραι, ὥστε ζητεῖτε αὐτῶν νυνὶ ἀπαλλαγῆναι· ἄλλοι δὲ ἄρα αὐτὰς οἴσουσι ῥᾳδίως; πολλοῦ γε δεῖ, ὦ ἄνδρες Ἀθηναῖοι. καλὸς οὖν ἄν μοι ὁ βίος εἴη ἐξελθόντι τηλικῷδε ἀνθρώπῳ ἄλλην ἐξ ἄλλης πόλεως ἀμειβομένῳ καὶ ἐξελαυνομένῳ ζῆν</w:t>
      </w:r>
      <w:r w:rsidR="00E036B9">
        <w:rPr>
          <w:rStyle w:val="Funotenzeichen"/>
          <w:rFonts w:ascii="Alkaios" w:hAnsi="Alkaios"/>
        </w:rPr>
        <w:footnoteReference w:id="15"/>
      </w:r>
      <w:r w:rsidRPr="0081192D">
        <w:rPr>
          <w:rFonts w:ascii="Alkaios" w:hAnsi="Alkaios"/>
        </w:rPr>
        <w:t xml:space="preserve">. εὖ γὰρ οἶδ᾽ ὅτι ὅποι ἂν ἔλθω, λέγοντος ἐμοῦ ἀκροάσονται οἱ νέοι ὥσπερ ἐνθάδε· κἂν μὲν τούτους ἀπελαύνω, οὗτοί με αὐτοὶ ἐξελῶσι πείθοντες τοὺς πρεσβυτέρους· </w:t>
      </w:r>
      <w:hyperlink r:id="rId17" w:anchor="p.37e" w:history="1">
        <w:r w:rsidRPr="0081192D">
          <w:rPr>
            <w:rStyle w:val="Hyperlink"/>
            <w:rFonts w:ascii="Alkaios" w:eastAsiaTheme="majorEastAsia" w:hAnsi="Alkaios"/>
          </w:rPr>
          <w:t>e</w:t>
        </w:r>
      </w:hyperlink>
      <w:r w:rsidRPr="0081192D">
        <w:rPr>
          <w:rFonts w:ascii="Alkaios" w:hAnsi="Alkaios"/>
        </w:rPr>
        <w:t xml:space="preserve">  ἐὰν δὲ μὴ ἀπελαύνω, οἱ τούτων πατέρες δὲ καὶ οἰκεῖοι δι᾽ αὐτοὺς τούτους. </w:t>
      </w:r>
    </w:p>
    <w:p w14:paraId="4EF22CAA" w14:textId="6F32D6BA" w:rsidR="00F601E1" w:rsidRPr="0081192D" w:rsidRDefault="00F601E1" w:rsidP="00F601E1">
      <w:pPr>
        <w:pStyle w:val="StandardWeb"/>
        <w:spacing w:before="0" w:beforeAutospacing="0" w:after="0" w:afterAutospacing="0"/>
        <w:contextualSpacing/>
        <w:rPr>
          <w:rFonts w:ascii="Alkaios" w:hAnsi="Alkaios"/>
        </w:rPr>
      </w:pPr>
      <w:r w:rsidRPr="0081192D">
        <w:rPr>
          <w:rFonts w:ascii="Alkaios" w:hAnsi="Alkaios"/>
        </w:rPr>
        <w:t>Ἴσως οὖν ἄν τις εἴποι· “σιγῶν δὲ καὶ ἡσυχίαν ἄγων, ὦ Σώκρατες, οὐχ οἷός τ᾽ ἔσῃ ἡμῖν ἐξελθὼν ζῆν;“ τουτὶ δή ἐστι πάντων χαλεπώτατον πεῖσαί τινας ὑμῶν</w:t>
      </w:r>
      <w:r w:rsidR="003D69D5">
        <w:rPr>
          <w:rStyle w:val="Funotenzeichen"/>
          <w:rFonts w:ascii="Alkaios" w:hAnsi="Alkaios"/>
        </w:rPr>
        <w:footnoteReference w:id="16"/>
      </w:r>
      <w:r w:rsidRPr="0081192D">
        <w:rPr>
          <w:rFonts w:ascii="Alkaios" w:hAnsi="Alkaios"/>
        </w:rPr>
        <w:t xml:space="preserve">. ἐάντε γὰρ λέγω ὅτι τῷ θεῷ ἀπειθεῖν τοῦτ᾽ ἐστὶν καὶ διὰ τοῦτ᾽ ἀδύνατον </w:t>
      </w:r>
      <w:hyperlink r:id="rId18" w:anchor="p.38a" w:history="1">
        <w:r w:rsidRPr="0081192D">
          <w:rPr>
            <w:rStyle w:val="Hyperlink"/>
            <w:rFonts w:ascii="Alkaios" w:eastAsiaTheme="majorEastAsia" w:hAnsi="Alkaios"/>
          </w:rPr>
          <w:t>38</w:t>
        </w:r>
      </w:hyperlink>
      <w:r w:rsidRPr="0081192D">
        <w:rPr>
          <w:rFonts w:ascii="Alkaios" w:hAnsi="Alkaios"/>
        </w:rPr>
        <w:t xml:space="preserve">  ἡσυχίαν ἄγειν, οὐ πείσεσθέ μοι ὡς εἰρωνευομένῳ· ἐάντ᾽ αὖ λέγω ὅτι καὶ τυγχάνει μέγιστον ἀγαθὸν ὂν ἀνθρώπῳ τοῦτο, ἑκάστης ἡμέρας περὶ ἀρετῆς τοὺς λόγους ποιεῖσθαι καὶ τῶν ἄλλων περὶ ὧν ὑμεῖς ἐμοῦ ἀκούετε διαλεγομένου καὶ ἐμαυτὸν καὶ ἄλλους ἐξετάζοντος, ὁ δὲ ἀνεξέταστος βίος οὐ βιωτὸς ἀνθρώπῳ, ταῦτα δ᾽ ἔτι ἧττον πείσεσθέ μοι λέγοντι. τὰ δὲ ἔχει μὲν οὕτως, ὡς ἐγώ φημι, ὦ ἄνδρες, πείθειν δὲ οὐ ῥᾴδιον. καὶ ἐγὼ ἅμα οὐκ εἴθισμαι ἐμαυτὸν ἀξιοῦν κακοῦ </w:t>
      </w:r>
      <w:hyperlink r:id="rId19" w:anchor="p.38b" w:history="1">
        <w:r w:rsidRPr="0081192D">
          <w:rPr>
            <w:rStyle w:val="Hyperlink"/>
            <w:rFonts w:ascii="Alkaios" w:eastAsiaTheme="majorEastAsia" w:hAnsi="Alkaios"/>
          </w:rPr>
          <w:t>b</w:t>
        </w:r>
      </w:hyperlink>
      <w:r w:rsidRPr="0081192D">
        <w:rPr>
          <w:rFonts w:ascii="Alkaios" w:hAnsi="Alkaios"/>
        </w:rPr>
        <w:t xml:space="preserve">  οὐδενός. εἰ μὲν γὰρ ἦν μοι χρήματα, ἐτιμησάμην ἂν χρημάτων ὅσα ἔμελλον ἐκτείσειν, οὐδὲν γὰρ ἂν ἐβλάβην· νῦν δὲ οὐ γὰρ ἔστιν, εἰ μὴ ἄρα ὅσον ἂν ἐγὼ δυναίμην ἐκτεῖσαι, τοσούτου βούλεσθέ μοι τιμῆσαι. ἴσως δ᾽ ἂν δυναίμην ἐκτεῖσαι ὑμῖν που μνᾶν ἀργυρίου· τοσούτου οὖν τιμῶμαι. </w:t>
      </w:r>
    </w:p>
    <w:p w14:paraId="3BA84901" w14:textId="0ED50C59" w:rsidR="00F601E1" w:rsidRPr="0081192D" w:rsidRDefault="00F601E1" w:rsidP="00F601E1">
      <w:pPr>
        <w:pStyle w:val="StandardWeb"/>
        <w:spacing w:before="0" w:beforeAutospacing="0" w:after="0" w:afterAutospacing="0"/>
        <w:contextualSpacing/>
        <w:rPr>
          <w:rFonts w:ascii="Alkaios" w:hAnsi="Alkaios"/>
        </w:rPr>
      </w:pPr>
      <w:r w:rsidRPr="0081192D">
        <w:rPr>
          <w:rFonts w:ascii="Alkaios" w:hAnsi="Alkaios"/>
        </w:rPr>
        <w:t>Πλάτων δὲ ὅδε, ὦ ἄνδρες Ἀθηναῖοι, καὶ Κρίτων καὶ Κριτόβουλος καὶ Ἀπολλόδωρος κελεύουσί με τριάκοντα μνῶν</w:t>
      </w:r>
      <w:r w:rsidR="00E0194B">
        <w:rPr>
          <w:rStyle w:val="Funotenzeichen"/>
          <w:rFonts w:ascii="Alkaios" w:hAnsi="Alkaios"/>
        </w:rPr>
        <w:footnoteReference w:id="17"/>
      </w:r>
      <w:r w:rsidRPr="0081192D">
        <w:rPr>
          <w:rFonts w:ascii="Alkaios" w:hAnsi="Alkaios"/>
        </w:rPr>
        <w:t xml:space="preserve"> τιμήσασθαι, αὐτοὶ δ᾽ ἐγγυᾶσθαι· τιμῶμαι οὖν τοσούτου, ἐγγυηταὶ δὲ ὑμῖν ἔσονται τοῦ ἀργυρίου οὗτοι ἀξιόχρεῳ. </w:t>
      </w:r>
    </w:p>
    <w:p w14:paraId="78A5E473" w14:textId="77777777" w:rsidR="005069DE" w:rsidRPr="00F601E1" w:rsidRDefault="005069DE" w:rsidP="00F601E1">
      <w:pPr>
        <w:spacing w:after="0"/>
        <w:contextualSpacing/>
      </w:pPr>
    </w:p>
    <w:sectPr w:rsidR="005069DE" w:rsidRPr="00F601E1" w:rsidSect="00A47C34">
      <w:pgSz w:w="11906" w:h="16838" w:code="9"/>
      <w:pgMar w:top="993"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F430" w14:textId="77777777" w:rsidR="00D26A4F" w:rsidRDefault="00D26A4F" w:rsidP="00CC27D8">
      <w:pPr>
        <w:spacing w:after="0"/>
      </w:pPr>
      <w:r>
        <w:separator/>
      </w:r>
    </w:p>
  </w:endnote>
  <w:endnote w:type="continuationSeparator" w:id="0">
    <w:p w14:paraId="4344560F" w14:textId="77777777" w:rsidR="00D26A4F" w:rsidRDefault="00D26A4F" w:rsidP="00CC2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kaios">
    <w:panose1 w:val="00000400000000000000"/>
    <w:charset w:val="00"/>
    <w:family w:val="auto"/>
    <w:pitch w:val="variable"/>
    <w:sig w:usb0="C00002EF" w:usb1="1807E0EA" w:usb2="00000010" w:usb3="00000000" w:csb0="0002009B" w:csb1="00000000"/>
  </w:font>
  <w:font w:name="Aptos">
    <w:charset w:val="00"/>
    <w:family w:val="swiss"/>
    <w:pitch w:val="variable"/>
    <w:sig w:usb0="20000287" w:usb1="0000000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099E" w14:textId="77777777" w:rsidR="00D26A4F" w:rsidRDefault="00D26A4F" w:rsidP="00CC27D8">
      <w:pPr>
        <w:spacing w:after="0"/>
      </w:pPr>
      <w:r>
        <w:separator/>
      </w:r>
    </w:p>
  </w:footnote>
  <w:footnote w:type="continuationSeparator" w:id="0">
    <w:p w14:paraId="46A9AE49" w14:textId="77777777" w:rsidR="00D26A4F" w:rsidRDefault="00D26A4F" w:rsidP="00CC27D8">
      <w:pPr>
        <w:spacing w:after="0"/>
      </w:pPr>
      <w:r>
        <w:continuationSeparator/>
      </w:r>
    </w:p>
  </w:footnote>
  <w:footnote w:id="1">
    <w:p w14:paraId="464185C2" w14:textId="3A4776C6" w:rsidR="00CC27D8" w:rsidRPr="00CC27D8" w:rsidRDefault="00CC27D8" w:rsidP="00896490">
      <w:pPr>
        <w:pStyle w:val="Funotentext"/>
        <w:ind w:left="0" w:firstLine="0"/>
      </w:pPr>
      <w:r>
        <w:rPr>
          <w:rStyle w:val="Funotenzeichen"/>
        </w:rPr>
        <w:footnoteRef/>
      </w:r>
      <w:r>
        <w:t xml:space="preserve"> </w:t>
      </w:r>
      <w:r w:rsidRPr="00E92CC1">
        <w:rPr>
          <w:i/>
          <w:iCs/>
          <w:sz w:val="18"/>
          <w:szCs w:val="18"/>
        </w:rPr>
        <w:t>Τὸ μὲν μὴ ἀγανακτεῖν: adv.</w:t>
      </w:r>
      <w:r w:rsidR="00E92CC1" w:rsidRPr="00E92CC1">
        <w:rPr>
          <w:i/>
          <w:iCs/>
          <w:sz w:val="18"/>
          <w:szCs w:val="18"/>
        </w:rPr>
        <w:t>Akk.</w:t>
      </w:r>
      <w:r w:rsidRPr="00E92CC1">
        <w:rPr>
          <w:i/>
          <w:iCs/>
          <w:sz w:val="18"/>
          <w:szCs w:val="18"/>
        </w:rPr>
        <w:t>: „was die Tatsache betrifft, dass …“</w:t>
      </w:r>
    </w:p>
  </w:footnote>
  <w:footnote w:id="2">
    <w:p w14:paraId="0E719206" w14:textId="7205FF93" w:rsidR="00E92CC1" w:rsidRPr="00E92CC1" w:rsidRDefault="00E92CC1" w:rsidP="00896490">
      <w:pPr>
        <w:pStyle w:val="Funotentext"/>
        <w:ind w:left="0" w:firstLine="0"/>
        <w:rPr>
          <w:i/>
          <w:iCs/>
          <w:sz w:val="18"/>
          <w:szCs w:val="18"/>
        </w:rPr>
      </w:pPr>
      <w:r>
        <w:rPr>
          <w:rStyle w:val="Funotenzeichen"/>
        </w:rPr>
        <w:footnoteRef/>
      </w:r>
      <w:r>
        <w:t xml:space="preserve"> </w:t>
      </w:r>
      <w:r w:rsidR="00896490">
        <w:rPr>
          <w:i/>
          <w:iCs/>
          <w:sz w:val="18"/>
          <w:szCs w:val="18"/>
        </w:rPr>
        <w:t>Beachte die Wendung</w:t>
      </w:r>
      <w:r w:rsidRPr="00896490">
        <w:rPr>
          <w:i/>
          <w:iCs/>
          <w:sz w:val="18"/>
          <w:szCs w:val="18"/>
        </w:rPr>
        <w:t xml:space="preserve"> </w:t>
      </w:r>
      <w:r w:rsidRPr="00E92CC1">
        <w:rPr>
          <w:i/>
          <w:iCs/>
          <w:sz w:val="18"/>
          <w:szCs w:val="18"/>
        </w:rPr>
        <w:t>ἄλλα τὲ καί ...</w:t>
      </w:r>
      <w:r>
        <w:rPr>
          <w:i/>
          <w:iCs/>
          <w:sz w:val="18"/>
          <w:szCs w:val="18"/>
        </w:rPr>
        <w:t xml:space="preserve"> „zumal / vor allem</w:t>
      </w:r>
      <w:r w:rsidR="00896490">
        <w:rPr>
          <w:i/>
          <w:iCs/>
          <w:sz w:val="18"/>
          <w:szCs w:val="18"/>
        </w:rPr>
        <w:t xml:space="preserve"> …</w:t>
      </w:r>
      <w:r>
        <w:rPr>
          <w:i/>
          <w:iCs/>
          <w:sz w:val="18"/>
          <w:szCs w:val="18"/>
        </w:rPr>
        <w:t>“</w:t>
      </w:r>
    </w:p>
  </w:footnote>
  <w:footnote w:id="3">
    <w:p w14:paraId="54CFD6B2" w14:textId="0EAADA08" w:rsidR="00CC27D8" w:rsidRDefault="00CC27D8" w:rsidP="00896490">
      <w:pPr>
        <w:pStyle w:val="Funotentext"/>
        <w:ind w:left="0" w:firstLine="0"/>
      </w:pPr>
      <w:r>
        <w:rPr>
          <w:rStyle w:val="Funotenzeichen"/>
        </w:rPr>
        <w:footnoteRef/>
      </w:r>
      <w:r>
        <w:t xml:space="preserve"> </w:t>
      </w:r>
      <w:r w:rsidRPr="00E92CC1">
        <w:rPr>
          <w:i/>
          <w:iCs/>
          <w:sz w:val="18"/>
          <w:szCs w:val="18"/>
        </w:rPr>
        <w:t>συμβάλλεται: „dazu trägt bei“</w:t>
      </w:r>
    </w:p>
  </w:footnote>
  <w:footnote w:id="4">
    <w:p w14:paraId="5E619643" w14:textId="2B93E243" w:rsidR="00896490" w:rsidRPr="00896490" w:rsidRDefault="00896490" w:rsidP="00896490">
      <w:pPr>
        <w:pStyle w:val="Funotentext"/>
        <w:ind w:left="0" w:firstLine="0"/>
      </w:pPr>
      <w:r>
        <w:rPr>
          <w:rStyle w:val="Funotenzeichen"/>
        </w:rPr>
        <w:footnoteRef/>
      </w:r>
      <w:r>
        <w:t xml:space="preserve"> </w:t>
      </w:r>
      <w:r w:rsidRPr="00896490">
        <w:rPr>
          <w:i/>
          <w:iCs/>
          <w:sz w:val="18"/>
          <w:szCs w:val="18"/>
        </w:rPr>
        <w:t xml:space="preserve">τὸ πέμπτον μέρος τῶν ψήφων: Erhielt der Kläger einer Eusebie-Klage </w:t>
      </w:r>
      <w:r>
        <w:rPr>
          <w:i/>
          <w:iCs/>
          <w:sz w:val="18"/>
          <w:szCs w:val="18"/>
        </w:rPr>
        <w:t>weniger als</w:t>
      </w:r>
      <w:r w:rsidRPr="00896490">
        <w:rPr>
          <w:i/>
          <w:iCs/>
          <w:sz w:val="18"/>
          <w:szCs w:val="18"/>
        </w:rPr>
        <w:t xml:space="preserve"> ein Drittel der </w:t>
      </w:r>
      <w:r>
        <w:rPr>
          <w:i/>
          <w:iCs/>
          <w:sz w:val="18"/>
          <w:szCs w:val="18"/>
        </w:rPr>
        <w:t xml:space="preserve">501 </w:t>
      </w:r>
      <w:r w:rsidRPr="00896490">
        <w:rPr>
          <w:i/>
          <w:iCs/>
          <w:sz w:val="18"/>
          <w:szCs w:val="18"/>
        </w:rPr>
        <w:t>Stimmen, musste er 1000 Drachmen Strafe zahlen und verlor das Klagerecht. Sokrates rechnet, dass jeder der drei Ankläger ein Drittel der 280 Stimmen erhalten ha</w:t>
      </w:r>
      <w:r>
        <w:rPr>
          <w:i/>
          <w:iCs/>
          <w:sz w:val="18"/>
          <w:szCs w:val="18"/>
        </w:rPr>
        <w:t>be</w:t>
      </w:r>
      <w:r w:rsidRPr="00896490">
        <w:rPr>
          <w:i/>
          <w:iCs/>
          <w:sz w:val="18"/>
          <w:szCs w:val="18"/>
        </w:rPr>
        <w:t>, also Meletos allein nur 9</w:t>
      </w:r>
      <w:r>
        <w:rPr>
          <w:i/>
          <w:iCs/>
          <w:sz w:val="18"/>
          <w:szCs w:val="18"/>
        </w:rPr>
        <w:t>3</w:t>
      </w:r>
      <w:r w:rsidRPr="00896490">
        <w:rPr>
          <w:i/>
          <w:iCs/>
          <w:sz w:val="18"/>
          <w:szCs w:val="18"/>
        </w:rPr>
        <w:t xml:space="preserve"> und</w:t>
      </w:r>
      <w:r>
        <w:rPr>
          <w:i/>
          <w:iCs/>
          <w:sz w:val="18"/>
          <w:szCs w:val="18"/>
        </w:rPr>
        <w:t>, wäre er alleiniger Ankläger, also</w:t>
      </w:r>
      <w:r w:rsidRPr="00896490">
        <w:rPr>
          <w:i/>
          <w:iCs/>
          <w:sz w:val="18"/>
          <w:szCs w:val="18"/>
        </w:rPr>
        <w:t xml:space="preserve"> weniger als die notwendigen 100.</w:t>
      </w:r>
      <w:r>
        <w:rPr>
          <w:sz w:val="22"/>
          <w:szCs w:val="22"/>
        </w:rPr>
        <w:t xml:space="preserve"> </w:t>
      </w:r>
    </w:p>
  </w:footnote>
  <w:footnote w:id="5">
    <w:p w14:paraId="3C7BF9E3" w14:textId="476855C9" w:rsidR="002A60BC" w:rsidRPr="00E036B9" w:rsidRDefault="002A60BC" w:rsidP="002A60BC">
      <w:pPr>
        <w:pStyle w:val="Funotentext"/>
        <w:ind w:left="0" w:firstLine="0"/>
      </w:pPr>
      <w:r>
        <w:rPr>
          <w:rStyle w:val="Funotenzeichen"/>
        </w:rPr>
        <w:footnoteRef/>
      </w:r>
      <w:r>
        <w:t xml:space="preserve"> </w:t>
      </w:r>
      <w:r w:rsidRPr="002A60BC">
        <w:rPr>
          <w:i/>
          <w:iCs/>
          <w:sz w:val="18"/>
          <w:szCs w:val="18"/>
        </w:rPr>
        <w:t>τῆς ἀξίας: erg. τιμῆς</w:t>
      </w:r>
    </w:p>
  </w:footnote>
  <w:footnote w:id="6">
    <w:p w14:paraId="671DA7D2" w14:textId="04B8F918" w:rsidR="00A04EB0" w:rsidRPr="00A04EB0" w:rsidRDefault="00A04EB0" w:rsidP="006F5A06">
      <w:pPr>
        <w:pStyle w:val="Funotentext"/>
        <w:ind w:left="0" w:firstLine="0"/>
      </w:pPr>
      <w:r>
        <w:rPr>
          <w:rStyle w:val="Funotenzeichen"/>
        </w:rPr>
        <w:footnoteRef/>
      </w:r>
      <w:r>
        <w:t xml:space="preserve"> </w:t>
      </w:r>
      <w:r w:rsidRPr="00A04EB0">
        <w:rPr>
          <w:i/>
          <w:iCs/>
          <w:sz w:val="18"/>
          <w:szCs w:val="18"/>
        </w:rPr>
        <w:t>δέ leitet den Gegensatz zum mit μέν eingeleiteten Satz ein.</w:t>
      </w:r>
      <w:r>
        <w:t xml:space="preserve"> </w:t>
      </w:r>
    </w:p>
  </w:footnote>
  <w:footnote w:id="7">
    <w:p w14:paraId="4912FCBB" w14:textId="6FFF1A8B" w:rsidR="006F5A06" w:rsidRPr="00E036B9" w:rsidRDefault="006F5A06" w:rsidP="006F5A06">
      <w:pPr>
        <w:pStyle w:val="Funotentext"/>
        <w:ind w:left="0" w:firstLine="0"/>
        <w:rPr>
          <w:i/>
          <w:iCs/>
          <w:sz w:val="18"/>
          <w:szCs w:val="18"/>
        </w:rPr>
      </w:pPr>
      <w:r>
        <w:rPr>
          <w:rStyle w:val="Funotenzeichen"/>
        </w:rPr>
        <w:footnoteRef/>
      </w:r>
      <w:r>
        <w:t xml:space="preserve"> </w:t>
      </w:r>
      <w:r w:rsidRPr="006F5A06">
        <w:rPr>
          <w:i/>
          <w:iCs/>
          <w:sz w:val="18"/>
          <w:szCs w:val="18"/>
        </w:rPr>
        <w:t>πείθειν regiert μὴ ἐπιμελεῖσθαι</w:t>
      </w:r>
      <w:r w:rsidRPr="00E036B9">
        <w:rPr>
          <w:i/>
          <w:iCs/>
          <w:sz w:val="18"/>
          <w:szCs w:val="18"/>
        </w:rPr>
        <w:t xml:space="preserve"> </w:t>
      </w:r>
    </w:p>
  </w:footnote>
  <w:footnote w:id="8">
    <w:p w14:paraId="0A47C7E4" w14:textId="33DE7E14" w:rsidR="00A04EB0" w:rsidRPr="006F5A06" w:rsidRDefault="00A04EB0" w:rsidP="006F5A06">
      <w:pPr>
        <w:pStyle w:val="Funotentext"/>
        <w:ind w:left="0" w:firstLine="0"/>
        <w:rPr>
          <w:i/>
          <w:iCs/>
          <w:sz w:val="18"/>
          <w:szCs w:val="18"/>
        </w:rPr>
      </w:pPr>
      <w:r>
        <w:rPr>
          <w:rStyle w:val="Funotenzeichen"/>
        </w:rPr>
        <w:footnoteRef/>
      </w:r>
      <w:r>
        <w:t xml:space="preserve"> </w:t>
      </w:r>
      <w:r w:rsidRPr="006F5A06">
        <w:rPr>
          <w:i/>
          <w:iCs/>
          <w:sz w:val="18"/>
          <w:szCs w:val="18"/>
        </w:rPr>
        <w:t xml:space="preserve">μήτε </w:t>
      </w:r>
      <w:r w:rsidR="006F5A06" w:rsidRPr="006F5A06">
        <w:rPr>
          <w:i/>
          <w:iCs/>
          <w:sz w:val="18"/>
          <w:szCs w:val="18"/>
        </w:rPr>
        <w:t>korrelativ zum nächsten μήτε</w:t>
      </w:r>
    </w:p>
  </w:footnote>
  <w:footnote w:id="9">
    <w:p w14:paraId="4606A5F7" w14:textId="2EBA8D82" w:rsidR="00383F44" w:rsidRPr="00383F44" w:rsidRDefault="00383F44" w:rsidP="00383F44">
      <w:pPr>
        <w:pStyle w:val="Funotentext"/>
        <w:ind w:left="0" w:firstLine="0"/>
      </w:pPr>
      <w:r>
        <w:rPr>
          <w:rStyle w:val="Funotenzeichen"/>
        </w:rPr>
        <w:footnoteRef/>
      </w:r>
      <w:r>
        <w:rPr>
          <w:i/>
          <w:iCs/>
          <w:sz w:val="18"/>
          <w:szCs w:val="18"/>
        </w:rPr>
        <w:t xml:space="preserve"> </w:t>
      </w:r>
      <w:r w:rsidRPr="00383F44">
        <w:rPr>
          <w:i/>
          <w:iCs/>
          <w:sz w:val="18"/>
          <w:szCs w:val="18"/>
        </w:rPr>
        <w:t>καὶ ταῦτά γε: „und demgemäß allerdings = und zwar</w:t>
      </w:r>
      <w:r>
        <w:rPr>
          <w:i/>
          <w:iCs/>
          <w:sz w:val="18"/>
          <w:szCs w:val="18"/>
        </w:rPr>
        <w:t>“</w:t>
      </w:r>
    </w:p>
  </w:footnote>
  <w:footnote w:id="10">
    <w:p w14:paraId="69DE24E5" w14:textId="5E058781" w:rsidR="00460403" w:rsidRPr="00E036B9" w:rsidRDefault="00460403">
      <w:pPr>
        <w:pStyle w:val="Funotentext"/>
      </w:pPr>
      <w:r>
        <w:rPr>
          <w:rStyle w:val="Funotenzeichen"/>
        </w:rPr>
        <w:footnoteRef/>
      </w:r>
      <w:r>
        <w:t xml:space="preserve"> </w:t>
      </w:r>
      <w:r w:rsidRPr="00460403">
        <w:rPr>
          <w:i/>
          <w:iCs/>
          <w:sz w:val="18"/>
          <w:szCs w:val="18"/>
        </w:rPr>
        <w:t>ἐγᾦμαι: Krasis von ἐγὼ ο</w:t>
      </w:r>
      <w:r>
        <w:rPr>
          <w:i/>
          <w:iCs/>
          <w:sz w:val="18"/>
          <w:szCs w:val="18"/>
          <w:lang w:val="el-GR"/>
        </w:rPr>
        <w:t>ἴο</w:t>
      </w:r>
      <w:r w:rsidRPr="00460403">
        <w:rPr>
          <w:i/>
          <w:iCs/>
          <w:sz w:val="18"/>
          <w:szCs w:val="18"/>
        </w:rPr>
        <w:t>μαι</w:t>
      </w:r>
    </w:p>
  </w:footnote>
  <w:footnote w:id="11">
    <w:p w14:paraId="776BD749" w14:textId="31A926B6" w:rsidR="000773F9" w:rsidRPr="006D0F5F" w:rsidRDefault="000773F9">
      <w:pPr>
        <w:pStyle w:val="Funotentext"/>
        <w:rPr>
          <w:lang w:val="el-GR"/>
        </w:rPr>
      </w:pPr>
      <w:r>
        <w:rPr>
          <w:rStyle w:val="Funotenzeichen"/>
        </w:rPr>
        <w:footnoteRef/>
      </w:r>
      <w:r>
        <w:t xml:space="preserve"> </w:t>
      </w:r>
      <w:r w:rsidRPr="000773F9">
        <w:rPr>
          <w:i/>
          <w:iCs/>
          <w:sz w:val="18"/>
          <w:szCs w:val="18"/>
        </w:rPr>
        <w:t xml:space="preserve">τιμήσεσθαι: parallel zu </w:t>
      </w:r>
      <w:r w:rsidR="006D0F5F">
        <w:rPr>
          <w:i/>
          <w:iCs/>
          <w:sz w:val="18"/>
          <w:szCs w:val="18"/>
        </w:rPr>
        <w:t>den vorherigen Inf.Fut.</w:t>
      </w:r>
    </w:p>
  </w:footnote>
  <w:footnote w:id="12">
    <w:p w14:paraId="1638C89F" w14:textId="3F2E9157" w:rsidR="00E6202E" w:rsidRPr="00E036B9" w:rsidRDefault="00E6202E">
      <w:pPr>
        <w:pStyle w:val="Funotentext"/>
      </w:pPr>
      <w:r>
        <w:rPr>
          <w:rStyle w:val="Funotenzeichen"/>
        </w:rPr>
        <w:footnoteRef/>
      </w:r>
      <w:r w:rsidRPr="00E036B9">
        <w:t xml:space="preserve"> </w:t>
      </w:r>
      <w:r w:rsidRPr="00563385">
        <w:rPr>
          <w:i/>
          <w:iCs/>
          <w:sz w:val="18"/>
          <w:szCs w:val="18"/>
        </w:rPr>
        <w:t>ἕλωμαι ὧν εὖ οἶδά τι κακῶν ὄντων: lies ἕλωμαί τι τούτων ἃ εὖ οἶδά κακ</w:t>
      </w:r>
      <w:r w:rsidR="00563385" w:rsidRPr="00563385">
        <w:rPr>
          <w:i/>
          <w:iCs/>
          <w:sz w:val="18"/>
          <w:szCs w:val="18"/>
        </w:rPr>
        <w:t>ὰ</w:t>
      </w:r>
      <w:r w:rsidRPr="00563385">
        <w:rPr>
          <w:i/>
          <w:iCs/>
          <w:sz w:val="18"/>
          <w:szCs w:val="18"/>
        </w:rPr>
        <w:t xml:space="preserve"> ὄντ</w:t>
      </w:r>
      <w:r w:rsidR="00563385" w:rsidRPr="00563385">
        <w:rPr>
          <w:i/>
          <w:iCs/>
          <w:sz w:val="18"/>
          <w:szCs w:val="18"/>
        </w:rPr>
        <w:t>α</w:t>
      </w:r>
    </w:p>
  </w:footnote>
  <w:footnote w:id="13">
    <w:p w14:paraId="703E96EA" w14:textId="5F9DC76A" w:rsidR="00563385" w:rsidRPr="00563385" w:rsidRDefault="00563385">
      <w:pPr>
        <w:pStyle w:val="Funotentext"/>
        <w:rPr>
          <w:lang w:val="el-GR"/>
        </w:rPr>
      </w:pPr>
      <w:r>
        <w:rPr>
          <w:rStyle w:val="Funotenzeichen"/>
        </w:rPr>
        <w:footnoteRef/>
      </w:r>
      <w:r w:rsidRPr="00563385">
        <w:rPr>
          <w:lang w:val="el-GR"/>
        </w:rPr>
        <w:t xml:space="preserve"> </w:t>
      </w:r>
      <w:r w:rsidRPr="00E036B9">
        <w:rPr>
          <w:i/>
          <w:iCs/>
          <w:sz w:val="18"/>
          <w:szCs w:val="18"/>
          <w:lang w:val="el-GR"/>
        </w:rPr>
        <w:t xml:space="preserve">δεσμοῦ: </w:t>
      </w:r>
      <w:r w:rsidRPr="00522346">
        <w:rPr>
          <w:i/>
          <w:iCs/>
          <w:sz w:val="18"/>
          <w:szCs w:val="18"/>
        </w:rPr>
        <w:t>erg</w:t>
      </w:r>
      <w:r w:rsidRPr="00E036B9">
        <w:rPr>
          <w:i/>
          <w:iCs/>
          <w:sz w:val="18"/>
          <w:szCs w:val="18"/>
          <w:lang w:val="el-GR"/>
        </w:rPr>
        <w:t>. δεῖ τιμήσεσθαι</w:t>
      </w:r>
    </w:p>
  </w:footnote>
  <w:footnote w:id="14">
    <w:p w14:paraId="5A9C696F" w14:textId="778FD752" w:rsidR="00563385" w:rsidRPr="00E036B9" w:rsidRDefault="00563385">
      <w:pPr>
        <w:pStyle w:val="Funotentext"/>
        <w:rPr>
          <w:lang w:val="el-GR"/>
        </w:rPr>
      </w:pPr>
      <w:r>
        <w:rPr>
          <w:rStyle w:val="Funotenzeichen"/>
        </w:rPr>
        <w:footnoteRef/>
      </w:r>
      <w:r w:rsidRPr="00563385">
        <w:rPr>
          <w:lang w:val="el-GR"/>
        </w:rPr>
        <w:t xml:space="preserve"> </w:t>
      </w:r>
      <w:r w:rsidRPr="00E036B9">
        <w:rPr>
          <w:i/>
          <w:iCs/>
          <w:sz w:val="18"/>
          <w:szCs w:val="18"/>
          <w:lang w:val="el-GR"/>
        </w:rPr>
        <w:t xml:space="preserve">χρημάτων: </w:t>
      </w:r>
      <w:r w:rsidRPr="00522346">
        <w:rPr>
          <w:i/>
          <w:iCs/>
          <w:sz w:val="18"/>
          <w:szCs w:val="18"/>
        </w:rPr>
        <w:t>ebenso</w:t>
      </w:r>
    </w:p>
  </w:footnote>
  <w:footnote w:id="15">
    <w:p w14:paraId="6443A74C" w14:textId="4E51B5FC" w:rsidR="00E036B9" w:rsidRPr="00E036B9" w:rsidRDefault="00E036B9">
      <w:pPr>
        <w:pStyle w:val="Funotentext"/>
        <w:rPr>
          <w:lang w:val="el-GR"/>
        </w:rPr>
      </w:pPr>
      <w:r>
        <w:rPr>
          <w:rStyle w:val="Funotenzeichen"/>
        </w:rPr>
        <w:footnoteRef/>
      </w:r>
      <w:r w:rsidRPr="00E036B9">
        <w:rPr>
          <w:lang w:val="el-GR"/>
        </w:rPr>
        <w:t xml:space="preserve"> </w:t>
      </w:r>
      <w:r w:rsidRPr="00BD457E">
        <w:rPr>
          <w:i/>
          <w:iCs/>
          <w:sz w:val="18"/>
          <w:szCs w:val="18"/>
          <w:lang w:val="el-GR"/>
        </w:rPr>
        <w:t xml:space="preserve">ζῆν: </w:t>
      </w:r>
      <w:r w:rsidRPr="00E036B9">
        <w:rPr>
          <w:i/>
          <w:iCs/>
          <w:sz w:val="18"/>
          <w:szCs w:val="18"/>
        </w:rPr>
        <w:t>als</w:t>
      </w:r>
      <w:r w:rsidRPr="00BD457E">
        <w:rPr>
          <w:i/>
          <w:iCs/>
          <w:sz w:val="18"/>
          <w:szCs w:val="18"/>
          <w:lang w:val="el-GR"/>
        </w:rPr>
        <w:t xml:space="preserve"> </w:t>
      </w:r>
      <w:r w:rsidRPr="00E036B9">
        <w:rPr>
          <w:i/>
          <w:iCs/>
          <w:sz w:val="18"/>
          <w:szCs w:val="18"/>
        </w:rPr>
        <w:t>fig</w:t>
      </w:r>
      <w:r w:rsidRPr="00BD457E">
        <w:rPr>
          <w:i/>
          <w:iCs/>
          <w:sz w:val="18"/>
          <w:szCs w:val="18"/>
          <w:lang w:val="el-GR"/>
        </w:rPr>
        <w:t>.</w:t>
      </w:r>
      <w:r w:rsidRPr="00E036B9">
        <w:rPr>
          <w:i/>
          <w:iCs/>
          <w:sz w:val="18"/>
          <w:szCs w:val="18"/>
        </w:rPr>
        <w:t>etym</w:t>
      </w:r>
      <w:r w:rsidRPr="00BD457E">
        <w:rPr>
          <w:i/>
          <w:iCs/>
          <w:sz w:val="18"/>
          <w:szCs w:val="18"/>
          <w:lang w:val="el-GR"/>
        </w:rPr>
        <w:t xml:space="preserve">. </w:t>
      </w:r>
      <w:r w:rsidRPr="00E036B9">
        <w:rPr>
          <w:i/>
          <w:iCs/>
          <w:sz w:val="18"/>
          <w:szCs w:val="18"/>
        </w:rPr>
        <w:t>zu</w:t>
      </w:r>
      <w:r w:rsidRPr="00BD457E">
        <w:rPr>
          <w:i/>
          <w:iCs/>
          <w:sz w:val="18"/>
          <w:szCs w:val="18"/>
          <w:lang w:val="el-GR"/>
        </w:rPr>
        <w:t xml:space="preserve"> καλὸς οὖν ἄν μοι ὁ βίος εἴη</w:t>
      </w:r>
    </w:p>
  </w:footnote>
  <w:footnote w:id="16">
    <w:p w14:paraId="0C649130" w14:textId="5007DF39" w:rsidR="003D69D5" w:rsidRPr="003D69D5" w:rsidRDefault="003D69D5">
      <w:pPr>
        <w:pStyle w:val="Funotentext"/>
        <w:rPr>
          <w:lang w:val="el-GR"/>
        </w:rPr>
      </w:pPr>
      <w:r>
        <w:rPr>
          <w:rStyle w:val="Funotenzeichen"/>
        </w:rPr>
        <w:footnoteRef/>
      </w:r>
      <w:r>
        <w:t xml:space="preserve"> </w:t>
      </w:r>
      <w:r w:rsidRPr="003D69D5">
        <w:rPr>
          <w:i/>
          <w:iCs/>
          <w:sz w:val="18"/>
          <w:szCs w:val="18"/>
        </w:rPr>
        <w:t>τινας ὑμῶν: AO zu πεῖσαι</w:t>
      </w:r>
    </w:p>
  </w:footnote>
  <w:footnote w:id="17">
    <w:p w14:paraId="1E475C25" w14:textId="3977B848" w:rsidR="00E0194B" w:rsidRPr="00E0194B" w:rsidRDefault="00E0194B">
      <w:pPr>
        <w:pStyle w:val="Funotentext"/>
      </w:pPr>
      <w:r>
        <w:rPr>
          <w:rStyle w:val="Funotenzeichen"/>
        </w:rPr>
        <w:footnoteRef/>
      </w:r>
      <w:r>
        <w:t xml:space="preserve"> </w:t>
      </w:r>
      <w:r w:rsidRPr="003923E4">
        <w:rPr>
          <w:i/>
          <w:iCs/>
          <w:sz w:val="18"/>
          <w:szCs w:val="18"/>
        </w:rPr>
        <w:t>τριάκοντα μνῶν</w:t>
      </w:r>
      <w:r w:rsidRPr="003923E4">
        <w:rPr>
          <w:i/>
          <w:iCs/>
          <w:sz w:val="18"/>
          <w:szCs w:val="18"/>
        </w:rPr>
        <w:t xml:space="preserve">: das ist ein halbes Talent und der </w:t>
      </w:r>
      <w:hyperlink r:id="rId1" w:history="1">
        <w:r w:rsidRPr="003923E4">
          <w:rPr>
            <w:rStyle w:val="Hyperlink"/>
            <w:i/>
            <w:iCs/>
            <w:sz w:val="18"/>
            <w:szCs w:val="18"/>
          </w:rPr>
          <w:t>Gegenwert</w:t>
        </w:r>
      </w:hyperlink>
      <w:r w:rsidRPr="003923E4">
        <w:rPr>
          <w:i/>
          <w:iCs/>
          <w:sz w:val="18"/>
          <w:szCs w:val="18"/>
        </w:rPr>
        <w:t xml:space="preserve"> von etwa </w:t>
      </w:r>
      <w:r w:rsidR="003923E4" w:rsidRPr="003923E4">
        <w:rPr>
          <w:i/>
          <w:iCs/>
          <w:sz w:val="18"/>
          <w:szCs w:val="18"/>
        </w:rPr>
        <w:t>dem Monatssold von 200 Ruderern auf einer Triere</w:t>
      </w:r>
      <w:r w:rsidR="003923E4">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D9"/>
    <w:rsid w:val="0005540D"/>
    <w:rsid w:val="000773F9"/>
    <w:rsid w:val="0014480C"/>
    <w:rsid w:val="001C6B15"/>
    <w:rsid w:val="001E5ADE"/>
    <w:rsid w:val="001F184D"/>
    <w:rsid w:val="002A60BC"/>
    <w:rsid w:val="0033631B"/>
    <w:rsid w:val="00383F44"/>
    <w:rsid w:val="003923E4"/>
    <w:rsid w:val="003940D9"/>
    <w:rsid w:val="003D69D5"/>
    <w:rsid w:val="0040565F"/>
    <w:rsid w:val="004125C3"/>
    <w:rsid w:val="00460403"/>
    <w:rsid w:val="005069DE"/>
    <w:rsid w:val="00522346"/>
    <w:rsid w:val="00563385"/>
    <w:rsid w:val="00595860"/>
    <w:rsid w:val="005C1722"/>
    <w:rsid w:val="005E7BBA"/>
    <w:rsid w:val="006070F3"/>
    <w:rsid w:val="00642140"/>
    <w:rsid w:val="006452CC"/>
    <w:rsid w:val="00654A8F"/>
    <w:rsid w:val="00693A61"/>
    <w:rsid w:val="006D0F5F"/>
    <w:rsid w:val="006F5A06"/>
    <w:rsid w:val="00763112"/>
    <w:rsid w:val="007D1FD4"/>
    <w:rsid w:val="007D4B6E"/>
    <w:rsid w:val="0081192D"/>
    <w:rsid w:val="00840A58"/>
    <w:rsid w:val="00851A01"/>
    <w:rsid w:val="00896490"/>
    <w:rsid w:val="00897690"/>
    <w:rsid w:val="008A4D56"/>
    <w:rsid w:val="008D0D42"/>
    <w:rsid w:val="008E1003"/>
    <w:rsid w:val="008E13F3"/>
    <w:rsid w:val="009078CC"/>
    <w:rsid w:val="00932650"/>
    <w:rsid w:val="0097628B"/>
    <w:rsid w:val="009C6121"/>
    <w:rsid w:val="009E6564"/>
    <w:rsid w:val="009F276C"/>
    <w:rsid w:val="00A04EB0"/>
    <w:rsid w:val="00A44E1F"/>
    <w:rsid w:val="00A47C34"/>
    <w:rsid w:val="00A85297"/>
    <w:rsid w:val="00AA5505"/>
    <w:rsid w:val="00BD457E"/>
    <w:rsid w:val="00C121C8"/>
    <w:rsid w:val="00C65566"/>
    <w:rsid w:val="00C65784"/>
    <w:rsid w:val="00CC27D8"/>
    <w:rsid w:val="00CC74D3"/>
    <w:rsid w:val="00D16A6A"/>
    <w:rsid w:val="00D26A4F"/>
    <w:rsid w:val="00D53B22"/>
    <w:rsid w:val="00E0194B"/>
    <w:rsid w:val="00E036B9"/>
    <w:rsid w:val="00E343E2"/>
    <w:rsid w:val="00E6202E"/>
    <w:rsid w:val="00E92CC1"/>
    <w:rsid w:val="00EF081B"/>
    <w:rsid w:val="00F60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BFBF"/>
  <w15:chartTrackingRefBased/>
  <w15:docId w15:val="{CA5E3E9E-B5B1-4D74-AA30-656A576B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kaios" w:eastAsiaTheme="minorHAnsi" w:hAnsi="Alkaios" w:cs="DejaVu Sans"/>
        <w:sz w:val="22"/>
        <w:szCs w:val="22"/>
        <w:lang w:val="de-DE" w:eastAsia="en-US" w:bidi="ar-SA"/>
      </w:rPr>
    </w:rPrDefault>
    <w:pPrDefault>
      <w:pPr>
        <w:spacing w:after="120"/>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94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94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940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940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940D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940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940D9"/>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940D9"/>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940D9"/>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40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940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940D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940D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940D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940D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940D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940D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940D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940D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40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940D9"/>
    <w:pPr>
      <w:numPr>
        <w:ilvl w:val="1"/>
      </w:numPr>
      <w:spacing w:after="160"/>
      <w:ind w:left="283" w:hanging="357"/>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940D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940D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940D9"/>
    <w:rPr>
      <w:i/>
      <w:iCs/>
      <w:color w:val="404040" w:themeColor="text1" w:themeTint="BF"/>
    </w:rPr>
  </w:style>
  <w:style w:type="paragraph" w:styleId="Listenabsatz">
    <w:name w:val="List Paragraph"/>
    <w:basedOn w:val="Standard"/>
    <w:uiPriority w:val="34"/>
    <w:qFormat/>
    <w:rsid w:val="003940D9"/>
    <w:pPr>
      <w:ind w:left="720"/>
      <w:contextualSpacing/>
    </w:pPr>
  </w:style>
  <w:style w:type="character" w:styleId="IntensiveHervorhebung">
    <w:name w:val="Intense Emphasis"/>
    <w:basedOn w:val="Absatz-Standardschriftart"/>
    <w:uiPriority w:val="21"/>
    <w:qFormat/>
    <w:rsid w:val="003940D9"/>
    <w:rPr>
      <w:i/>
      <w:iCs/>
      <w:color w:val="0F4761" w:themeColor="accent1" w:themeShade="BF"/>
    </w:rPr>
  </w:style>
  <w:style w:type="paragraph" w:styleId="IntensivesZitat">
    <w:name w:val="Intense Quote"/>
    <w:basedOn w:val="Standard"/>
    <w:next w:val="Standard"/>
    <w:link w:val="IntensivesZitatZchn"/>
    <w:uiPriority w:val="30"/>
    <w:qFormat/>
    <w:rsid w:val="00394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940D9"/>
    <w:rPr>
      <w:i/>
      <w:iCs/>
      <w:color w:val="0F4761" w:themeColor="accent1" w:themeShade="BF"/>
    </w:rPr>
  </w:style>
  <w:style w:type="character" w:styleId="IntensiverVerweis">
    <w:name w:val="Intense Reference"/>
    <w:basedOn w:val="Absatz-Standardschriftart"/>
    <w:uiPriority w:val="32"/>
    <w:qFormat/>
    <w:rsid w:val="003940D9"/>
    <w:rPr>
      <w:b/>
      <w:bCs/>
      <w:smallCaps/>
      <w:color w:val="0F4761" w:themeColor="accent1" w:themeShade="BF"/>
      <w:spacing w:val="5"/>
    </w:rPr>
  </w:style>
  <w:style w:type="paragraph" w:styleId="StandardWeb">
    <w:name w:val="Normal (Web)"/>
    <w:basedOn w:val="Standard"/>
    <w:uiPriority w:val="99"/>
    <w:semiHidden/>
    <w:unhideWhenUsed/>
    <w:rsid w:val="00F601E1"/>
    <w:pPr>
      <w:spacing w:before="100" w:beforeAutospacing="1" w:after="100" w:afterAutospacing="1"/>
      <w:ind w:left="0" w:firstLine="0"/>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601E1"/>
    <w:rPr>
      <w:color w:val="0000FF"/>
      <w:u w:val="single"/>
    </w:rPr>
  </w:style>
  <w:style w:type="paragraph" w:styleId="Funotentext">
    <w:name w:val="footnote text"/>
    <w:basedOn w:val="Standard"/>
    <w:link w:val="FunotentextZchn"/>
    <w:uiPriority w:val="99"/>
    <w:semiHidden/>
    <w:unhideWhenUsed/>
    <w:rsid w:val="00CC27D8"/>
    <w:pPr>
      <w:spacing w:after="0"/>
    </w:pPr>
    <w:rPr>
      <w:sz w:val="20"/>
      <w:szCs w:val="20"/>
    </w:rPr>
  </w:style>
  <w:style w:type="character" w:customStyle="1" w:styleId="FunotentextZchn">
    <w:name w:val="Fußnotentext Zchn"/>
    <w:basedOn w:val="Absatz-Standardschriftart"/>
    <w:link w:val="Funotentext"/>
    <w:uiPriority w:val="99"/>
    <w:semiHidden/>
    <w:rsid w:val="00CC27D8"/>
    <w:rPr>
      <w:sz w:val="20"/>
      <w:szCs w:val="20"/>
    </w:rPr>
  </w:style>
  <w:style w:type="character" w:styleId="Funotenzeichen">
    <w:name w:val="footnote reference"/>
    <w:basedOn w:val="Absatz-Standardschriftart"/>
    <w:uiPriority w:val="99"/>
    <w:semiHidden/>
    <w:unhideWhenUsed/>
    <w:rsid w:val="00CC27D8"/>
    <w:rPr>
      <w:vertAlign w:val="superscript"/>
    </w:rPr>
  </w:style>
  <w:style w:type="character" w:styleId="NichtaufgelsteErwhnung">
    <w:name w:val="Unresolved Mention"/>
    <w:basedOn w:val="Absatz-Standardschriftart"/>
    <w:uiPriority w:val="99"/>
    <w:semiHidden/>
    <w:unhideWhenUsed/>
    <w:rsid w:val="00392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1%CF%80%CE%BF%CE%BB%CE%BF%CE%B3%CE%AF%CE%B1_%CE%A3%CF%89%CE%BA%CF%81%CE%AC%CF%84%CE%BF%CF%85%CF%82_(%CE%A0%CE%BB%CE%AC%CF%84%CF%89%CE%BD)" TargetMode="External"/><Relationship Id="rId13" Type="http://schemas.openxmlformats.org/officeDocument/2006/relationships/hyperlink" Target="https://el.wikisource.org/wiki/%CE%91%CF%80%CE%BF%CE%BB%CE%BF%CE%B3%CE%AF%CE%B1_%CE%A3%CF%89%CE%BA%CF%81%CE%AC%CF%84%CE%BF%CF%85%CF%82_(%CE%A0%CE%BB%CE%AC%CF%84%CF%89%CE%BD)" TargetMode="External"/><Relationship Id="rId18" Type="http://schemas.openxmlformats.org/officeDocument/2006/relationships/hyperlink" Target="https://el.wikisource.org/wiki/%CE%91%CF%80%CE%BF%CE%BB%CE%BF%CE%B3%CE%AF%CE%B1_%CE%A3%CF%89%CE%BA%CF%81%CE%AC%CF%84%CE%BF%CF%85%CF%82_(%CE%A0%CE%BB%CE%AC%CF%84%CF%89%CE%B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l.wikisource.org/wiki/%CE%91%CF%80%CE%BF%CE%BB%CE%BF%CE%B3%CE%AF%CE%B1_%CE%A3%CF%89%CE%BA%CF%81%CE%AC%CF%84%CE%BF%CF%85%CF%82_(%CE%A0%CE%BB%CE%AC%CF%84%CF%89%CE%BD)" TargetMode="External"/><Relationship Id="rId12" Type="http://schemas.openxmlformats.org/officeDocument/2006/relationships/hyperlink" Target="https://el.wikisource.org/wiki/%CE%91%CF%80%CE%BF%CE%BB%CE%BF%CE%B3%CE%AF%CE%B1_%CE%A3%CF%89%CE%BA%CF%81%CE%AC%CF%84%CE%BF%CF%85%CF%82_(%CE%A0%CE%BB%CE%AC%CF%84%CF%89%CE%BD)" TargetMode="External"/><Relationship Id="rId17" Type="http://schemas.openxmlformats.org/officeDocument/2006/relationships/hyperlink" Target="https://el.wikisource.org/wiki/%CE%91%CF%80%CE%BF%CE%BB%CE%BF%CE%B3%CE%AF%CE%B1_%CE%A3%CF%89%CE%BA%CF%81%CE%AC%CF%84%CE%BF%CF%85%CF%82_(%CE%A0%CE%BB%CE%AC%CF%84%CF%89%CE%BD)" TargetMode="External"/><Relationship Id="rId2" Type="http://schemas.openxmlformats.org/officeDocument/2006/relationships/styles" Target="styles.xml"/><Relationship Id="rId16" Type="http://schemas.openxmlformats.org/officeDocument/2006/relationships/hyperlink" Target="https://el.wikisource.org/wiki/%CE%91%CF%80%CE%BF%CE%BB%CE%BF%CE%B3%CE%AF%CE%B1_%CE%A3%CF%89%CE%BA%CF%81%CE%AC%CF%84%CE%BF%CF%85%CF%82_(%CE%A0%CE%BB%CE%AC%CF%84%CF%89%CE%B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source.org/wiki/%CE%91%CF%80%CE%BF%CE%BB%CE%BF%CE%B3%CE%AF%CE%B1_%CE%A3%CF%89%CE%BA%CF%81%CE%AC%CF%84%CE%BF%CF%85%CF%82_(%CE%A0%CE%BB%CE%AC%CF%84%CF%89%CE%BD)" TargetMode="External"/><Relationship Id="rId5" Type="http://schemas.openxmlformats.org/officeDocument/2006/relationships/footnotes" Target="footnotes.xml"/><Relationship Id="rId15" Type="http://schemas.openxmlformats.org/officeDocument/2006/relationships/hyperlink" Target="https://el.wikisource.org/wiki/%CE%91%CF%80%CE%BF%CE%BB%CE%BF%CE%B3%CE%AF%CE%B1_%CE%A3%CF%89%CE%BA%CF%81%CE%AC%CF%84%CE%BF%CF%85%CF%82_(%CE%A0%CE%BB%CE%AC%CF%84%CF%89%CE%BD)" TargetMode="External"/><Relationship Id="rId10" Type="http://schemas.openxmlformats.org/officeDocument/2006/relationships/hyperlink" Target="https://el.wikisource.org/wiki/%CE%91%CF%80%CE%BF%CE%BB%CE%BF%CE%B3%CE%AF%CE%B1_%CE%A3%CF%89%CE%BA%CF%81%CE%AC%CF%84%CE%BF%CF%85%CF%82_(%CE%A0%CE%BB%CE%AC%CF%84%CF%89%CE%BD)" TargetMode="External"/><Relationship Id="rId19" Type="http://schemas.openxmlformats.org/officeDocument/2006/relationships/hyperlink" Target="https://el.wikisource.org/wiki/%CE%91%CF%80%CE%BF%CE%BB%CE%BF%CE%B3%CE%AF%CE%B1_%CE%A3%CF%89%CE%BA%CF%81%CE%AC%CF%84%CE%BF%CF%85%CF%82_(%CE%A0%CE%BB%CE%AC%CF%84%CF%89%CE%BD)" TargetMode="External"/><Relationship Id="rId4" Type="http://schemas.openxmlformats.org/officeDocument/2006/relationships/webSettings" Target="webSettings.xml"/><Relationship Id="rId9" Type="http://schemas.openxmlformats.org/officeDocument/2006/relationships/hyperlink" Target="https://el.wikisource.org/wiki/%CE%91%CF%80%CE%BF%CE%BB%CE%BF%CE%B3%CE%AF%CE%B1_%CE%A3%CF%89%CE%BA%CF%81%CE%AC%CF%84%CE%BF%CF%85%CF%82_(%CE%A0%CE%BB%CE%AC%CF%84%CF%89%CE%BD)" TargetMode="External"/><Relationship Id="rId14" Type="http://schemas.openxmlformats.org/officeDocument/2006/relationships/hyperlink" Target="https://el.wikisource.org/wiki/%CE%91%CF%80%CE%BF%CE%BB%CE%BF%CE%B3%CE%AF%CE%B1_%CE%A3%CF%89%CE%BA%CF%81%CE%AC%CF%84%CE%BF%CF%85%CF%82_(%CE%A0%CE%BB%CE%AC%CF%84%CF%89%CE%B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zusokrates.de/fileadmin/Griechisch/Deklination/Deklination_in_Details/Kaufkraft_des_Geldes.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9C20-E1B8-45B8-8E6B-4A5CEAC7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6675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dc:creator>
  <cp:keywords/>
  <dc:description/>
  <cp:lastModifiedBy>Friedrich</cp:lastModifiedBy>
  <cp:revision>17</cp:revision>
  <dcterms:created xsi:type="dcterms:W3CDTF">2025-04-22T06:52:00Z</dcterms:created>
  <dcterms:modified xsi:type="dcterms:W3CDTF">2025-07-02T12:36:00Z</dcterms:modified>
</cp:coreProperties>
</file>